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2-22-239/2025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наименование организации к фио о взыскании задолженности по договору займа - удовлетворить.  </w:t>
      </w:r>
    </w:p>
    <w:p w:rsidR="00A77B3E">
      <w:r>
        <w:t xml:space="preserve">      Взыскать с  фио (паспортные данные, код подразделения: 910-007) в пользу наименование организации (ОГРН 1227700296350, ИНН телефон, КПП телефон КПО телефон Банк Ульяновское отделение № 8588 ПАО Сбербанк, БИК телефон, р/с 40701810969000011555, к/с 30101810000000000602)  задолженность по договору микрозайма от дата № 226/15746 за период с дата по дата в размере сумма в том числе: сумма - сумма основного долга, сумма – проценты за пользование суммой займа, а также расходы по оплате государственной пошлины в размере сумма, а всего сумма.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