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№2-22-489/2024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к фио о взыскании задолженности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взыскании задолженности по договору займа -  удовлетворить.  </w:t>
      </w:r>
    </w:p>
    <w:p w:rsidR="00A77B3E">
      <w:r>
        <w:t xml:space="preserve">     Взыскать с  фио  в пользу наименование организации (ИНН телефон ОГРН 1213200003972) задолженность по договору займа № 22000153239 от дата в размере 31583,17 ( сумма прописью), а также расходы по уплате государственной пошлины в размере 1147,50 (сумма прописью), а всего  сумма (сумма прописью).</w:t>
      </w:r>
    </w:p>
    <w:p w:rsidR="00A77B3E">
      <w:r>
        <w:t xml:space="preserve">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