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участием: представителя истца – фио,  ответчика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</w:t>
      </w:r>
    </w:p>
    <w:p w:rsidR="00A77B3E">
      <w:r>
        <w:t xml:space="preserve">              Руководствуясь ст. 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за коммунальные услуги по обращению с твердыми коммунальными отходами - удовлетворить.  </w:t>
      </w:r>
    </w:p>
    <w:p w:rsidR="00A77B3E">
      <w:r>
        <w:t xml:space="preserve">      Взыскать с  фио в пользу наименование организации (наименование организации операционный офис № 1, БИК: телефон, к/с: 30101810335100000607, р/с: 40702810840160000189, ИНН: телефон, КПП 910301001)  задолженность за коммунальные услуги по обращению с твердыми коммунальными отходами за период с дата по дата включительно  в размере сумма, а также  расходы по оплате государственной пошлины в размере сумма.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