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№02-23-118/2024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 истца – наименование организации;</w:t>
      </w:r>
    </w:p>
    <w:p w:rsidR="00A77B3E">
      <w:r>
        <w:tab/>
        <w:t xml:space="preserve">представителя истца – фио; </w:t>
      </w:r>
    </w:p>
    <w:p w:rsidR="00A77B3E">
      <w:r>
        <w:t xml:space="preserve">ответчика – фио; 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наименование организации к фио о взыскании задолженности по договору займа удовлетворить частично.</w:t>
      </w:r>
    </w:p>
    <w:p w:rsidR="00A77B3E">
      <w:r>
        <w:t>Взыскать с фио (фио, паспортные данные) сумму основной задолженности по договору займа в размере сумма, сумму процентов по договору займа за период с дата по дата в сумме сумма, проценты за пользование займом за период с дата по дата в размере сумма, пеню за период с дата по дата в размере сумма, продолжая её начисление по дату фактического исполнения решения суда, сумма в счет возмещения судебных расходов на услуги представителя, а также государственную пошлину за подачу искового заявления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