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№2-23-224/2024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                            </w:t>
        <w:tab/>
        <w:t xml:space="preserve">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в отсутствие лиц, участвующих в деле:  </w:t>
      </w:r>
    </w:p>
    <w:p w:rsidR="00A77B3E">
      <w:r>
        <w:t xml:space="preserve">представителя истца – наименование организации в лице филиала наименование организации, поступило ходатайство о рассмотрении дела в отсутствие представителя;  </w:t>
      </w:r>
    </w:p>
    <w:p w:rsidR="00A77B3E">
      <w:r>
        <w:t>ответчика – фио, извещена надлежащим образом;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удовлетворить.</w:t>
      </w:r>
    </w:p>
    <w:p w:rsidR="00A77B3E">
      <w:r>
        <w:t>Взыскать с фио (паспортные данные, зарегистрированной по адресу6 адрес, СНИЛС телефон-39)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за период с дата по дата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