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№02-23-248/2024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 представителя истца – наименование организации;</w:t>
      </w:r>
    </w:p>
    <w:p w:rsidR="00A77B3E">
      <w:r>
        <w:t xml:space="preserve">с участием ответчика – фио, личность установлена по паспорту гражданина Российской Федерации;  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данные, УССР,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пеню в сумме сумма, а также сумма государственной пошлины, за подачу искового заявления.</w:t>
      </w:r>
    </w:p>
    <w:p w:rsidR="00A77B3E">
      <w:r>
        <w:t>Зачесть фио в счет взыскания задолженности по уплате взносов на капитальный ремонт общего имущества в многоквартирном доме за период с дата по дата в сумме сумма, оплату произведенную на основании квитанции от дата.</w:t>
      </w:r>
    </w:p>
    <w:p w:rsidR="00A77B3E">
      <w:r>
        <w:t>Зачесть фио в счет в счет взыскания пени в сумме сумма, оплату произведенную на основании квитанции №9/1 от дата.</w:t>
      </w:r>
    </w:p>
    <w:p w:rsidR="00A77B3E">
      <w:r>
        <w:t>Зачесть фио в счет в счет взыскания государственной пошлины, за подачу искового заявления в сумме сумма, оплаты произведенную на основании квитанции №135 от дата.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