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№2-23-896/2023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>в отсутствие лиц, участвующих в деле:</w:t>
      </w:r>
    </w:p>
    <w:p w:rsidR="00A77B3E">
      <w:r>
        <w:t>представителя истца наименование организации в лице филиала наименование организации;</w:t>
      </w:r>
    </w:p>
    <w:p w:rsidR="00A77B3E">
      <w:r>
        <w:t>ответчика – Байрамова фио;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Байрамову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Байрамова фио о применении последствий пропуска исковой давности удовлетворить.</w:t>
      </w:r>
    </w:p>
    <w:p w:rsidR="00A77B3E">
      <w:r>
        <w:t>наименование организации в лице филиала наименование организации к Байрамову фио о взыскании задолженности за потребленную тепловую энергию в удовлетворении искового заявления отказать, в связи с пропуском срока исковой давности.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