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№02-23-985/2025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Галинка фио; рассмотрев материалы дела по исковому заявлению наименование организации к Галинка фио, Галинка фио, Галинка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Галинка фио о применении последствий пропуска исковой давности оставить без удовлетворения.</w:t>
      </w:r>
    </w:p>
    <w:p w:rsidR="00A77B3E">
      <w:r>
        <w:t>Исковое заявление наименование организации к Галинка фио, Галинка фио, Галинка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Галинка фио (паспортные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</w:t>
      </w:r>
    </w:p>
    <w:p w:rsidR="00A77B3E">
      <w:r>
        <w:t xml:space="preserve">Взыскать с Галинка фио (паспортные данные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  </w:t>
      </w:r>
    </w:p>
    <w:p w:rsidR="00A77B3E">
      <w:r>
        <w:t xml:space="preserve">Взыскать с Галинка фио (паспортные данные, в адрес, зарегистрированного по адресу: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 сумма, пени в сумме сумма.  </w:t>
      </w:r>
    </w:p>
    <w:p w:rsidR="00A77B3E">
      <w:r>
        <w:t>Взыскать солидарно с Галинка фио, Галинка фио, Галинка фио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/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