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91MS0024-телефон-телефон</w:t>
      </w:r>
    </w:p>
    <w:p w:rsidR="00A77B3E">
      <w:r>
        <w:t>Дело № 2-24-210/2019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                   </w:t>
      </w:r>
    </w:p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фио – удовлетворить в полном объеме.</w:t>
      </w:r>
    </w:p>
    <w:p w:rsidR="00A77B3E">
      <w:r>
        <w:t>Взыскать с фио в пользу фио сумму неосновательного обогащения, уплаченную по договору на оказание информационно-консультативных услуг № 206-к от дата в размере сумма, проценты за пользование чужими денежными средствами за период с дата по дата – сумма, а также судебные расходы по делу, состоящие из оплаты государственной пошлины – сумма, юридических услуг по договору от дата в размере сумма, банковской комиссии за оплату юридических услуг – сумма и расходов за совершение нотариальных действий – сумма, а всего – сумма (сумма прописью).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>
      <w:r>
        <w:t>Мировой судья: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