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2-24-342/2025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   дата                 </w:t>
        <w:tab/>
        <w:t xml:space="preserve">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фио о взыскании задолженности за услуги по управлению многоквартирным домом, содержанию и текущему ремонту общего имущества собственников помещений многоквартирного дома.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о взыскании задолженности за услуги по управлению многоквартирным домом, содержанию и текущему ремонту общего имущества собственников помещений многоквартирного дома – удовлетворить.</w:t>
      </w:r>
    </w:p>
    <w:p w:rsidR="00A77B3E">
      <w:r>
        <w:t>Взыскать с фио (паспортные данные ..., адрес, паспортные данные, зарегистрированного и проживающего по адресу: адрес, адрес) в пользу наименование организации (юридический адрес: адрес, адрес; ОГРН 1239100013129, ИНН/КПП 9103102610/910301001, Банк получателя наименование организации, БИК телефон, к/сч 30101810335100000607),</w:t>
      </w:r>
    </w:p>
    <w:p w:rsidR="00A77B3E">
      <w:r>
        <w:t>задолженность за содержание жилого помещения за период с дата по дата в размере сумма и расходы на оплату государственной пошлины в размере сумма, а всего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    Мировой судья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