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2-24-407/2021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ab/>
        <w:t xml:space="preserve">дата                 </w:t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участии помощника мирового судьи фио,  </w:t>
      </w:r>
    </w:p>
    <w:p w:rsidR="00A77B3E">
      <w:r>
        <w:t xml:space="preserve">рассмотрев в открытом судебном заседании гражданское дело по иску наименование организации к фио и фио о взыскании задолженности по оплате услуг по сбору и вывозу твердых коммунальных отходов и судебных расходов.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солидарно с фио и фио ... в пользу наименование организации задолженность по оплате услуг по сбору и вывозу твердых коммунальных отходов за период с дата по дата в сумме сумма и расходы по оплате государственной пошлины – сумма, а всего – сумма (сумма прописью).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месяца со дня составления мотивированного решения.</w:t>
      </w:r>
    </w:p>
    <w:p w:rsidR="00A77B3E"/>
    <w:p w:rsidR="00A77B3E">
      <w:r>
        <w:t xml:space="preserve">Мировой судья: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