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№2-26-172/2024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прокурора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12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Агаеву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признании сделки недействительной, применении последствий ничтожной сделки,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третье лицо – Министерство финансов Российской Федерации,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прокурора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12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Агаеву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признании сделки недействительной, применении последствий ничтожной сделки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сделку между </w:t>
      </w:r>
      <w:r>
        <w:rPr>
          <w:rStyle w:val="cat-FIOgrp-14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1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урож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зарегистрированной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Агаевым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2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2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урож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Style w:val="cat-Addressgrp-6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зарегистрированным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7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Конной Армии,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</w:t>
      </w:r>
      <w:r>
        <w:rPr>
          <w:rFonts w:ascii="Times New Roman" w:eastAsia="Times New Roman" w:hAnsi="Times New Roman" w:cs="Times New Roman"/>
          <w:sz w:val="26"/>
          <w:szCs w:val="26"/>
        </w:rPr>
        <w:t>28/80</w:t>
      </w:r>
      <w:r>
        <w:rPr>
          <w:rFonts w:ascii="Times New Roman" w:eastAsia="Times New Roman" w:hAnsi="Times New Roman" w:cs="Times New Roman"/>
          <w:sz w:val="26"/>
          <w:szCs w:val="26"/>
        </w:rPr>
        <w:t>, кв.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8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по получению денежных сре</w:t>
      </w:r>
      <w:r>
        <w:rPr>
          <w:rFonts w:ascii="Times New Roman" w:eastAsia="Times New Roman" w:hAnsi="Times New Roman" w:cs="Times New Roman"/>
          <w:sz w:val="26"/>
          <w:szCs w:val="26"/>
        </w:rPr>
        <w:t>дств в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азмере </w:t>
      </w:r>
      <w:r>
        <w:rPr>
          <w:rStyle w:val="cat-Sumgrp-18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недействительной.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Применить последствия недействительности ничтожной сделки, заключенной между </w:t>
      </w:r>
      <w:r>
        <w:rPr>
          <w:rFonts w:ascii="Times New Roman" w:eastAsia="Times New Roman" w:hAnsi="Times New Roman" w:cs="Times New Roman"/>
          <w:sz w:val="26"/>
          <w:szCs w:val="26"/>
        </w:rPr>
        <w:t>Агаевым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одной стороны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другой стороны, взыскать с </w:t>
      </w:r>
      <w:r>
        <w:rPr>
          <w:rStyle w:val="cat-FIOgrp-16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сумму дохода, полученного в результате ничтожной сделки в размере </w:t>
      </w:r>
      <w:r>
        <w:rPr>
          <w:rStyle w:val="cat-Sumgrp-18rplc-2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обратив его в доход Российской Федерации.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3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2"/>
          <w:szCs w:val="22"/>
        </w:rPr>
        <w:t>а(</w:t>
      </w:r>
      <w:r>
        <w:rPr>
          <w:rStyle w:val="cat-Addressgrp-2rplc-3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3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Style w:val="cat-FIOgrp-17rplc-3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2rplc-9">
    <w:name w:val="cat-FIO grp-12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ExternalSystemDefinedgrp-21rplc-15">
    <w:name w:val="cat-ExternalSystemDefined grp-21 rplc-15"/>
    <w:basedOn w:val="DefaultParagraphFont"/>
  </w:style>
  <w:style w:type="character" w:customStyle="1" w:styleId="cat-PassportDatagrp-19rplc-16">
    <w:name w:val="cat-PassportData grp-19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ExternalSystemDefinedgrp-22rplc-20">
    <w:name w:val="cat-ExternalSystemDefined grp-22 rplc-20"/>
    <w:basedOn w:val="DefaultParagraphFont"/>
  </w:style>
  <w:style w:type="character" w:customStyle="1" w:styleId="cat-PassportDatagrp-20rplc-21">
    <w:name w:val="cat-PassportData grp-20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Addressgrp-8rplc-24">
    <w:name w:val="cat-Address grp-8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Sumgrp-18rplc-29">
    <w:name w:val="cat-Sum grp-18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7rplc-33">
    <w:name w:val="cat-FIO grp-1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