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2-52-437/2023</w:t>
      </w:r>
    </w:p>
    <w:p w:rsidR="00A77B3E">
      <w:r>
        <w:t>УИД: ...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21 июля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 при ведении протокола судебного заседания (аудиопротоколирования) секретарем судебного заседания Анифиевой З.З.,</w:t>
      </w:r>
    </w:p>
    <w:p w:rsidR="00A77B3E">
      <w:r>
        <w:t>с участием ответчика – Цапко Н.С.,</w:t>
      </w:r>
    </w:p>
    <w:p w:rsidR="00A77B3E">
      <w:r>
        <w:t>рассмотрев в открытом судебном заседании гражданское дело по исковому заявлению Акционерного общества «Страховая компания «Двадцать первый век» в лице представителя по доверенности Бондаренко Елены Владимировны к Цапко Наталье Сергеевне о взыскании выплаченного страхового возмещения в порядке регресса,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Акционерного общества «Страховая компания «Двадцать первый век» к Цапко Наталье Сергеевне о взыскании выплаченного страхового возмещения в порядке регресса, судебных расходов, удовлетворить в полном объеме.</w:t>
      </w:r>
    </w:p>
    <w:p w:rsidR="00A77B3E">
      <w:r>
        <w:t xml:space="preserve">Взыскать с Цапко Натальи Сергеевны, паспортные данные), зарегистрированной по адресу: ... в пользу Акционерного общества «Страховая компания «Двадцать первый век» (ИНН ..., КПП ..., ОГРН ..., юридический адрес: 190000, г. Санкт-Петербург, Литейный пр-т, д. 57а, лит. А) 8600,00 рублей – сумму выплаченного страхового возмещения в порядке регресса; 400,00 рублей - расходы по оплате государственной пошлины, а всего 9000 (девять тысяч) рублей 00 копеек (банковские реквизиты: ...).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