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116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-000</w:t>
      </w:r>
      <w:r>
        <w:rPr>
          <w:rFonts w:ascii="Times New Roman" w:eastAsia="Times New Roman" w:hAnsi="Times New Roman" w:cs="Times New Roman"/>
          <w:sz w:val="26"/>
          <w:szCs w:val="26"/>
        </w:rPr>
        <w:t>256</w:t>
      </w:r>
      <w:r>
        <w:rPr>
          <w:rFonts w:ascii="Times New Roman" w:eastAsia="Times New Roman" w:hAnsi="Times New Roman" w:cs="Times New Roman"/>
          <w:sz w:val="26"/>
          <w:szCs w:val="26"/>
        </w:rPr>
        <w:t>-5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(вступительная и резолютивная части)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Fonts w:ascii="Times New Roman" w:eastAsia="Times New Roman" w:hAnsi="Times New Roman" w:cs="Times New Roman"/>
          <w:sz w:val="26"/>
          <w:szCs w:val="26"/>
        </w:rPr>
        <w:t>Дольниковой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зале суда гражданское дело по иску Государственного унитарного предприятия Республики Крым «Крымтеплокоммунэнерго» в лице филиала в г. Джанкой к </w:t>
      </w:r>
      <w:r>
        <w:rPr>
          <w:rStyle w:val="cat-UserDefinedgrp-14rplc-10"/>
          <w:rFonts w:ascii="Times New Roman" w:eastAsia="Times New Roman" w:hAnsi="Times New Roman" w:cs="Times New Roman"/>
          <w:sz w:val="26"/>
          <w:szCs w:val="26"/>
        </w:rPr>
        <w:t>Дубинко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 за услуги теплоснабжения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Государственного унитарного предприятия Республики Крым «Крымтеплокоммунэнерго» в лице филиала в г. Джанкой к </w:t>
      </w:r>
      <w:r>
        <w:rPr>
          <w:rStyle w:val="cat-UserDefinedgrp-14rplc-13"/>
          <w:rFonts w:ascii="Times New Roman" w:eastAsia="Times New Roman" w:hAnsi="Times New Roman" w:cs="Times New Roman"/>
          <w:sz w:val="26"/>
          <w:szCs w:val="26"/>
        </w:rPr>
        <w:t>Дубинко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 за услуги теплоснабжения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01.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3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42989 (сорок две тысячи девятьсот восемьдесят девять) 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судебных расходов, связанных с оплатой государственной пошлины, </w:t>
      </w:r>
      <w:r>
        <w:rPr>
          <w:rFonts w:ascii="Times New Roman" w:eastAsia="Times New Roman" w:hAnsi="Times New Roman" w:cs="Times New Roman"/>
          <w:sz w:val="26"/>
          <w:szCs w:val="26"/>
        </w:rPr>
        <w:t>отказать в связи с истечением срока исковой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давности.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истечение срока исковой давности является самостоятельным основанием для отказа в иске (</w:t>
      </w:r>
      <w:r>
        <w:rPr>
          <w:rFonts w:ascii="Times New Roman" w:eastAsia="Times New Roman" w:hAnsi="Times New Roman" w:cs="Times New Roman"/>
          <w:sz w:val="26"/>
          <w:szCs w:val="26"/>
        </w:rPr>
        <w:t>абз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 п. 2 ст. 199 Гражданского кодекса Российской Федерации).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10">
    <w:name w:val="cat-UserDefined grp-14 rplc-10"/>
    <w:basedOn w:val="DefaultParagraphFont"/>
  </w:style>
  <w:style w:type="character" w:customStyle="1" w:styleId="cat-UserDefinedgrp-14rplc-13">
    <w:name w:val="cat-UserDefined grp-14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