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629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-01-2021-00</w:t>
      </w:r>
      <w:r>
        <w:rPr>
          <w:rFonts w:ascii="Times New Roman" w:eastAsia="Times New Roman" w:hAnsi="Times New Roman" w:cs="Times New Roman"/>
          <w:sz w:val="27"/>
          <w:szCs w:val="27"/>
        </w:rPr>
        <w:t>1143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Страховой компании «Росгосстрах» к </w:t>
      </w:r>
      <w:r>
        <w:rPr>
          <w:rFonts w:ascii="Times New Roman" w:eastAsia="Times New Roman" w:hAnsi="Times New Roman" w:cs="Times New Roman"/>
          <w:sz w:val="28"/>
          <w:szCs w:val="28"/>
        </w:rPr>
        <w:t>Бурову Александру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>орядке регресса в счет возмещения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Страховой компании «Росгосстрах» к Бурову Александру Александровичу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r>
        <w:rPr>
          <w:rFonts w:ascii="Times New Roman" w:eastAsia="Times New Roman" w:hAnsi="Times New Roman" w:cs="Times New Roman"/>
          <w:sz w:val="28"/>
          <w:szCs w:val="28"/>
        </w:rPr>
        <w:t>орядке регресса в счет возмещения вреда, причиненного в результате повреждения застрахованного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18377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также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19112,08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сто 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копеек).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Бурова Александра Александровича, </w:t>
      </w:r>
      <w:r>
        <w:rPr>
          <w:rStyle w:val="cat-UserDefinedgrp-16rplc-2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Публичного акционерного общества Страховой компании «Росгосстрах» </w:t>
      </w:r>
      <w:r>
        <w:rPr>
          <w:rStyle w:val="cat-UserDefinedgrp-18rplc-2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вступления решения в законную силу по дату фактического исполнения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6rplc-22">
    <w:name w:val="cat-UserDefined grp-16 rplc-22"/>
    <w:basedOn w:val="DefaultParagraphFont"/>
  </w:style>
  <w:style w:type="character" w:customStyle="1" w:styleId="cat-UserDefinedgrp-18rplc-25">
    <w:name w:val="cat-UserDefined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