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144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73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85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(вводная и резолютивная части)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>помощнике судьи Тимаковой Е.А.,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представителя истца – </w:t>
      </w:r>
      <w:r>
        <w:rPr>
          <w:rFonts w:ascii="Times New Roman" w:eastAsia="Times New Roman" w:hAnsi="Times New Roman" w:cs="Times New Roman"/>
          <w:sz w:val="27"/>
          <w:szCs w:val="27"/>
        </w:rPr>
        <w:t>Синани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ответчика – Никитюк М.И.,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заде суда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Никитюк Максиму Игоревичу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обучение по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оказании платных образовательных услуг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194-199 ГПК РФ,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Никитюк Максиму Игоревичу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обучение по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оказании платных образовательных услуг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01.09.2017 № 13-15/1-73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7286,01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и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удовлетворить.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Никитюк Максима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1rplc-17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 </w:t>
      </w:r>
      <w:r>
        <w:rPr>
          <w:rStyle w:val="cat-UserDefinedgrp-22rplc-19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задолженност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обучение по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оказании платных образовательных услуг от 01.09.2017 № 13-15/1-73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7286,01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судебные расходы, связанные с оплатой государственной пошлины в размере 400,00 руб., а всего </w:t>
      </w:r>
      <w:r>
        <w:rPr>
          <w:rFonts w:ascii="Times New Roman" w:eastAsia="Times New Roman" w:hAnsi="Times New Roman" w:cs="Times New Roman"/>
          <w:sz w:val="27"/>
          <w:szCs w:val="27"/>
        </w:rPr>
        <w:t>7686,01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 </w:t>
      </w:r>
      <w:r>
        <w:rPr>
          <w:rFonts w:ascii="Times New Roman" w:eastAsia="Times New Roman" w:hAnsi="Times New Roman" w:cs="Times New Roman"/>
          <w:sz w:val="27"/>
          <w:szCs w:val="27"/>
        </w:rPr>
        <w:t>шестьсот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восемьдесят шесть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eastAsia="Times New Roman" w:hAnsi="Times New Roman" w:cs="Times New Roman"/>
          <w:sz w:val="27"/>
          <w:szCs w:val="27"/>
        </w:rPr>
        <w:t>йка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Ю.Г. Белова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19">
    <w:name w:val="cat-UserDefined grp-22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