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3453"/>
        <w:gridCol w:w="34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32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>
            <w:pPr>
              <w:spacing w:before="0" w:after="0"/>
              <w:ind w:firstLine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>
            <w:pPr>
              <w:spacing w:before="0" w:after="0"/>
              <w:ind w:firstLine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Дело № 2-65-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2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firstLine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20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194-199 Гражданского процессуального кодекса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требования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в пользу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в размере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</w:t>
      </w:r>
      <w:r>
        <w:rPr>
          <w:rFonts w:ascii="Times New Roman" w:eastAsia="Times New Roman" w:hAnsi="Times New Roman" w:cs="Times New Roman"/>
          <w:sz w:val="28"/>
          <w:szCs w:val="28"/>
        </w:rPr>
        <w:t>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Нижнегорский районный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