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2-70-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91MS0070-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Нальгиевой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ст. 67, 68, 71, 98, 103, 181,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233 - 237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Нальгиевой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. Реквизиты для перечисления задолженности: расчетный счет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30101810335100000607 на расчетный счет 40603810340080000020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зачисления на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№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1089411747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Реквизиты для перечисления государственной пошлины: расчетный счет № 40603810</w:t>
      </w:r>
      <w:r>
        <w:rPr>
          <w:rFonts w:ascii="Times New Roman" w:eastAsia="Times New Roman" w:hAnsi="Times New Roman" w:cs="Times New Roman"/>
          <w:sz w:val="28"/>
          <w:rtl w:val="0"/>
        </w:rPr>
        <w:t>940810000001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 18210803010011000110</w:t>
      </w:r>
      <w:r>
        <w:rPr>
          <w:rFonts w:ascii="Times New Roman" w:eastAsia="Times New Roman" w:hAnsi="Times New Roman" w:cs="Times New Roman"/>
          <w:sz w:val="28"/>
          <w:rtl w:val="0"/>
        </w:rPr>
        <w:t>)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взносов на капитальный ремонт общего имущества многоквартирного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зачесть денежные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уплаченные ответчиком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квитанцией № 7/1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квитанцией 7/2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квитанцией № 61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окончательно определив к взысканию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десяти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настоящего заочного решения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