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216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</w:t>
      </w:r>
      <w:r>
        <w:rPr>
          <w:rFonts w:ascii="Times New Roman" w:eastAsia="Times New Roman" w:hAnsi="Times New Roman" w:cs="Times New Roman"/>
          <w:sz w:val="26"/>
          <w:rtl w:val="0"/>
        </w:rPr>
        <w:t>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1089422450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оплате взносов на капитальный ремонт общего имущества многоквартирного дома,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с применением ст. 333 ГК РФ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пени с применением ст. 333 ГК РФ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пени с применением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333 ГК РФ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удовлетворении остальных требований о взыскании пеней – отказать.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равных долях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подачи апелляционной жалобы через мирового судью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месяца со дня вынесения решения.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