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372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обеспечивающем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193-199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1149102183735): на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 для зачисления на л/с № </w:t>
      </w:r>
      <w:r>
        <w:rPr>
          <w:rFonts w:ascii="Times New Roman" w:eastAsia="Times New Roman" w:hAnsi="Times New Roman" w:cs="Times New Roman"/>
          <w:sz w:val="26"/>
          <w:rtl w:val="0"/>
        </w:rPr>
        <w:t>1089383088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с. </w:t>
      </w:r>
      <w:r>
        <w:rPr>
          <w:rFonts w:ascii="Times New Roman" w:eastAsia="Times New Roman" w:hAnsi="Times New Roman" w:cs="Times New Roman"/>
          <w:sz w:val="28"/>
          <w:rtl w:val="0"/>
        </w:rPr>
        <w:t>шелковичное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как с сособственника квартиры, расположенной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февраль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пени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продолжая взыскивать пени по день фактической оплаты задолженности по оплате взносов на капитальный ремонт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с. </w:t>
      </w:r>
      <w:r>
        <w:rPr>
          <w:rFonts w:ascii="Times New Roman" w:eastAsia="Times New Roman" w:hAnsi="Times New Roman" w:cs="Times New Roman"/>
          <w:sz w:val="28"/>
          <w:rtl w:val="0"/>
        </w:rPr>
        <w:t>шелковичное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