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2-84-357/2024</w:t>
      </w:r>
    </w:p>
    <w:p w:rsidR="00A77B3E">
      <w:r>
        <w:t>УИД 91MS0084-01-2024-000719-50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28 мая 2024 года  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СПАО «Ингосстрах» к Рыцареву Игорю Геннадьевичу о возмещении ущерба, причиненного в результате ДТП.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Взыскать с Рыцарева Игоря Геннадьевича (паспортные данные) в пользу СПАО «Ингосстрах» (ИНН: номер) денежные средства в порядке суброгации в размере сумма, а так же расходы по оплате государственной пошлины в размере сумма, а всего взыскать сумма</w:t>
      </w:r>
    </w:p>
    <w:p w:rsidR="00A77B3E">
      <w:r>
        <w:t>Зачесть фио в счет уплаты взысканных денежных средств в порядке суброгации в размере сумма, а так же расходов по оплате государственной пошлины в размере сумма сумму, оплаченную фио согласно квитанции №1 от дата в размере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