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№2-85-402/2021</w:t>
      </w:r>
    </w:p>
    <w:p w:rsidR="00A77B3E"/>
    <w:p w:rsidR="00A77B3E">
      <w:r>
        <w:t>РЕШЕНИЕ</w:t>
      </w:r>
    </w:p>
    <w:p w:rsidR="00A77B3E">
      <w:r>
        <w:t xml:space="preserve"> (резолютивная часть)</w:t>
      </w:r>
    </w:p>
    <w:p w:rsidR="00A77B3E"/>
    <w:p w:rsidR="00A77B3E">
      <w:r>
        <w:t>дата                                                                                         адрес,</w:t>
      </w:r>
    </w:p>
    <w:p w:rsidR="00A77B3E">
      <w:r>
        <w:t xml:space="preserve">                     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с участием истца                                                                       - фио,</w:t>
      </w:r>
    </w:p>
    <w:p w:rsidR="00A77B3E">
      <w:r>
        <w:t>ответчика                                                                                   - фио,</w:t>
      </w:r>
    </w:p>
    <w:p w:rsidR="00A77B3E">
      <w:r>
        <w:t>при помощнике судьи                                                               - фио</w:t>
      </w:r>
    </w:p>
    <w:p w:rsidR="00A77B3E">
      <w:r>
        <w:t>рассмотрев в открытом судебном заседании гражданское дело по исковому заявлению фио к фио о возмещении материального ущерба,</w:t>
      </w:r>
    </w:p>
    <w:p w:rsidR="00A77B3E">
      <w:r>
        <w:t xml:space="preserve">руководствуясь ст.ст. 1064 Гражданского кодекса Российской Федерации, ст.ст. 98,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заявление фио к фио о возмещении материального ущерба  – удовлетворить.</w:t>
      </w:r>
    </w:p>
    <w:p w:rsidR="00A77B3E">
      <w:r>
        <w:t>Взыскать с фио паспортные данные, телефон,  в пользу фио, паспортные данные, адрес, Укр. Республики, паспортные данные, телефон, денежные средства в размере сумма,  в качестве возмещения материального ущерба, причиненного принадлежащему имуществу фио передней правой двери автомобиля марки марка автомобиля Гольф Плюс, г.р.з. А813УЕ82 и расходы по уплате государственной пошлины в размере сумма, а всего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