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№2-85-590/2021</w:t>
      </w:r>
    </w:p>
    <w:p w:rsidR="00A77B3E">
      <w:r>
        <w:t>УИД: 91MS0085-телефон-телефон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дата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секретаре судебного заседания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о взыскании средств, полученных обманным путем,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фио, о взыскании средств, полученных обманным путем - удовлетворить. </w:t>
      </w:r>
    </w:p>
    <w:p w:rsidR="00A77B3E">
      <w:r>
        <w:t>Взыскать с фио, паспортные данные, АР адрес, зарегистрированной  по адресу: адрес, СНИЛС телефон в пользу наименование организации сумма.</w:t>
      </w:r>
    </w:p>
    <w:p w:rsidR="00A77B3E">
      <w:r>
        <w:t>Взыскать с фио, паспортные данные, АР адрес, зарегистрированной  по адресу: адрес, СНИЛС телефон, государственную пошлину в доход местного бюджета в размере сумма.</w:t>
      </w:r>
    </w:p>
    <w:p w:rsidR="00A77B3E">
      <w:r>
        <w:t xml:space="preserve">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