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2-87-748/2020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>с участием:</w:t>
      </w:r>
    </w:p>
    <w:p w:rsidR="00A77B3E">
      <w:r>
        <w:t xml:space="preserve">представителя истца – фио, действующей на основании доверенности,   </w:t>
      </w:r>
    </w:p>
    <w:p w:rsidR="00A77B3E">
      <w:r>
        <w:t xml:space="preserve">рассмотрев в открытом судебном заседании в адрес исковое заявление фио к наименование организации ..., 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 - </w:t>
      </w:r>
    </w:p>
    <w:p w:rsidR="00A77B3E">
      <w:r>
        <w:t>РЕШИЛ:</w:t>
      </w:r>
    </w:p>
    <w:p w:rsidR="00A77B3E"/>
    <w:p w:rsidR="00A77B3E">
      <w:r>
        <w:t xml:space="preserve">Исковые требования фио к наименование организации – удовлетворить частично. </w:t>
      </w:r>
    </w:p>
    <w:p w:rsidR="00A77B3E">
      <w:r>
        <w:t xml:space="preserve">Взыскать с наименование организации в пользу фио стоимость билета за отмененный перевозчиком авиарейс в размере сумма, в связи с отказом пассажира от пользования в дальнейшем услугами наименование организации. 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 xml:space="preserve"> </w:t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