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Дело № 2-87-1624/2020</w:t>
      </w:r>
    </w:p>
    <w:p w:rsidR="00A77B3E">
      <w:r>
        <w:t xml:space="preserve">                                                                                                                                         УИД 91MS0087-телефон-телефон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</w:t>
        <w:tab/>
        <w:t xml:space="preserve">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>с участием:</w:t>
      </w:r>
    </w:p>
    <w:p w:rsidR="00A77B3E">
      <w:r>
        <w:t xml:space="preserve">ответчика – Стрепетова А.А., </w:t>
      </w:r>
    </w:p>
    <w:p w:rsidR="00A77B3E">
      <w:r>
        <w:t xml:space="preserve">рассмотрев в открытом судебном заседании в адрес исковое заявление Общества с ограниченной ответственностью Микрофинансовая наименование организации к Стрепетову А... А... о взыскании задолженности по договору потребительского займа ... от дата,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194-199 ГПК Российской Федерации, мировой судья, - </w:t>
      </w:r>
    </w:p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Микрофинансовая наименование организации к Стрепетову А... А... о взыскании задолженности по договору потребительского займа ... от дата - удовлетворить.</w:t>
      </w:r>
    </w:p>
    <w:p w:rsidR="00A77B3E">
      <w:r>
        <w:t xml:space="preserve">Взыскать с Стрепетова А... А... в пользу Общества с ограниченной ответственностью Микрофинансовая наименование организации задолженность по договору потребительского займа ... от дата сумму основного долга в размере сумма, проценты по договору займа за период с дата по               дата в размере сумма, а всего сумма  </w:t>
      </w:r>
    </w:p>
    <w:p w:rsidR="00A77B3E">
      <w:r>
        <w:t xml:space="preserve">Взыскать с Стрепетова А... А... в пользу Общества с ограниченной ответственностью Микрофинансовая наименование организации расходы по оплате государственной пошлины в размере сумма  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 момента принятия решения в окончательной форме.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 </w:t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