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   Дело № 2-87-1715/2020</w:t>
      </w:r>
    </w:p>
    <w:p w:rsidR="00A77B3E">
      <w:r>
        <w:t xml:space="preserve">                                                                                                                       УИД 91MS0087-телефон-телефон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адрес </w:t>
        <w:tab/>
        <w:tab/>
        <w:tab/>
        <w:t xml:space="preserve">      </w:t>
        <w:tab/>
        <w:t xml:space="preserve">                         </w:t>
        <w:tab/>
        <w:tab/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</w:t>
      </w:r>
    </w:p>
    <w:p w:rsidR="00A77B3E">
      <w:r>
        <w:t xml:space="preserve">рассмотрев в открытом судебном заседании в адрес исковое заявление наименование организации к Дубенко С... А... о взыскании стоимости перемещения (хранения) транспортного средства,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ст.ст. 194, 198, 199, 233, 235 ГПК Российской Федерации,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к Дубенко С... А... о взыскании стоимости перемещения (хранения) транспортного средства - удовлетворить.</w:t>
      </w:r>
    </w:p>
    <w:p w:rsidR="00A77B3E">
      <w:r>
        <w:t xml:space="preserve">Взыскать с Дубенко С... А... в пользу наименование организации стоимость перемещения (хранения) транспортного средства в размере сумма </w:t>
      </w:r>
    </w:p>
    <w:p w:rsidR="00A77B3E">
      <w:r>
        <w:t xml:space="preserve">Взыскать с Дубенко С... А... в пользу наименование организации расходы по оплате государственной пошлины в размере сумма  </w:t>
      </w:r>
    </w:p>
    <w:p w:rsidR="00A77B3E">
      <w:r>
        <w:t>Ответчик вправе подать мировому судье судебного участка № 87 Феодосийского судебного района (городской адрес) адрес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>
      <w:r>
        <w:t xml:space="preserve">Заочное решение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 xml:space="preserve"> </w:t>
        <w:tab/>
        <w:tab/>
        <w:t xml:space="preserve">   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