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2-87-1910/2020</w:t>
      </w:r>
    </w:p>
    <w:p w:rsidR="00A77B3E">
      <w:r>
        <w:t xml:space="preserve">                                                                                                                                         УИД 91MS0087-телефон-телефон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</w:t>
        <w:tab/>
        <w:t xml:space="preserve">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>с участием:</w:t>
      </w:r>
    </w:p>
    <w:p w:rsidR="00A77B3E">
      <w:r>
        <w:t xml:space="preserve">представителя ответчика – фио, действующего на основании доверенности,    </w:t>
      </w:r>
    </w:p>
    <w:p w:rsidR="00A77B3E">
      <w:r>
        <w:t xml:space="preserve">рассмотрев в открытом судебном заседании в адрес исковое заявление наименование организации к Букавневу ... о взыскании выплаченного страхового возмещения в порядке регресса,  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194-199 ГПК Российской Федерации, мировой судья - </w:t>
      </w:r>
    </w:p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Букавневу ... о взыскании выплаченного страхового возмещения в порядке регресса, - удовлетворить частично. </w:t>
      </w:r>
    </w:p>
    <w:p w:rsidR="00A77B3E">
      <w:r>
        <w:t xml:space="preserve">Взыскать с Букавнева Владимира Дмитриевича в пользу наименование организации выплаченное страховое возмещение в порядке регресса в размере сумма </w:t>
      </w:r>
    </w:p>
    <w:p w:rsidR="00A77B3E">
      <w:r>
        <w:t xml:space="preserve">Взыскать с Букавнева Владимира Дмитриевича в пользу наименование организации расходы по оплате государственной пошлины в размере сумма 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 момента принятия решения в окончательной форме.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 </w:t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