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при секретаре</w:t>
      </w:r>
      <w:r>
        <w:t xml:space="preserve">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 Федерального казенного наименование о</w:t>
      </w:r>
      <w:r>
        <w:t>рганизации - удовлетворить частично.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неосновательное обогащение, сложившееся ввиду потребления услуги по водоснабжению и водоотведению за период с дата по дата, в размере сумма, а также взыскать в доход бюджета госпошлину в сумме сумма с зачислением на реквизиты</w:t>
      </w:r>
      <w:r>
        <w:t>.</w:t>
      </w:r>
    </w:p>
    <w:p w:rsidR="00A77B3E">
      <w:r>
        <w:t>В остальной части исковых требований – отказать.</w:t>
      </w:r>
    </w:p>
    <w:p w:rsidR="00A77B3E">
      <w:r>
        <w:t xml:space="preserve">Решение может быть обжаловано в Феодосийский городской суд адрес в течение </w:t>
      </w:r>
      <w:r>
        <w:t>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</w:t>
      </w:r>
      <w:r>
        <w:t>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</w:t>
      </w:r>
      <w:r>
        <w:t>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</w:t>
      </w:r>
      <w:r>
        <w:t>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12"/>
    <w:rsid w:val="00946B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