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2-89-18/2023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>, третьи лица: филиал "</w:t>
      </w:r>
      <w:r>
        <w:t xml:space="preserve"> наименование организации</w:t>
      </w:r>
      <w:r>
        <w:t>, о взыскании неосновательного обогащения,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наименование организации - удовлетворить частично.</w:t>
      </w:r>
    </w:p>
    <w:p w:rsidR="00A77B3E">
      <w:r>
        <w:t xml:space="preserve">Взыскивать с </w:t>
      </w:r>
      <w:r w:rsidR="00F53CFF">
        <w:t>фио</w:t>
      </w:r>
      <w:r w:rsidR="00F53CFF">
        <w:t>, паспортные данные</w:t>
      </w:r>
      <w:r>
        <w:t xml:space="preserve">, зарегистрированной по адресу: адрес, в пользу </w:t>
      </w:r>
      <w:r>
        <w:t>н</w:t>
      </w:r>
      <w:r w:rsidR="00F53CFF">
        <w:t xml:space="preserve">аименование организации </w:t>
      </w:r>
      <w:r>
        <w:t>неосновательное обогащение, сложившееся в</w:t>
      </w:r>
      <w:r>
        <w:t xml:space="preserve">виду потребления услуги по водоснабжению и водоотведению за период </w:t>
      </w:r>
      <w:r>
        <w:t>с</w:t>
      </w:r>
      <w:r>
        <w:t xml:space="preserve"> дата по дата, в размере сумма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>, в доход бюджета госпошлину в сумме сумма с зачислением на реквизиты: расчетный счет</w:t>
      </w:r>
      <w:r w:rsidR="002E1C21">
        <w:t>.</w:t>
      </w:r>
    </w:p>
    <w:p w:rsidR="00A77B3E">
      <w:r>
        <w:t>В</w:t>
      </w:r>
      <w:r>
        <w:t xml:space="preserve"> остальной части исковых </w:t>
      </w:r>
      <w:r>
        <w:t>требований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 199 Г</w:t>
      </w:r>
      <w:r>
        <w:t>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</w:t>
      </w:r>
      <w:r>
        <w:t>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</w:t>
      </w:r>
      <w:r>
        <w:t>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</w:t>
      </w:r>
      <w:r>
        <w:t xml:space="preserve">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FF"/>
    <w:rsid w:val="002E1C21"/>
    <w:rsid w:val="00A77B3E"/>
    <w:rsid w:val="00F53CFF"/>
    <w:rsid w:val="00F57D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