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2-89-187/2025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>, третье лицо – МКУ Департамент труда социальной защиты населения администрации адрес о взыскании задолженности по опла</w:t>
      </w:r>
      <w:r>
        <w:t xml:space="preserve">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</w:t>
      </w:r>
      <w:r>
        <w:t>гоквартирном доме за период с июля 2021  по февраль 2025 в размере сумма, пени за период с дата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</w:t>
      </w:r>
      <w:r>
        <w:t>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</w:t>
      </w:r>
      <w:r>
        <w:t>ользу наименование организации (ИНН телефон, ОГРН 1149102183735) с дата по дату фактического исполнения обязательств.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</w:t>
      </w:r>
      <w:r>
        <w:t>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</w:t>
      </w:r>
      <w:r>
        <w:t xml:space="preserve">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</w:t>
      </w:r>
      <w:r>
        <w:t>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</w:t>
      </w:r>
      <w:r>
        <w:t>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78"/>
    <w:rsid w:val="002E5B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