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2-89-386/2022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, третьи лица: наименование организации, о взыскании задолженности за коммунальные </w:t>
      </w:r>
      <w:r>
        <w:t>услуги, -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 xml:space="preserve">Решение может быть обжаловано в Феодосийский городской суд адрес в течение месяца со дня его вынесения через мирового судью судебного участка № 91 Феодосийского </w:t>
      </w:r>
      <w:r>
        <w:t>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</w:t>
      </w:r>
      <w:r>
        <w:t>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</w:t>
      </w:r>
      <w:r>
        <w:t xml:space="preserve">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</w:t>
      </w:r>
      <w:r>
        <w:t xml:space="preserve">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F7"/>
    <w:rsid w:val="00A77B3E"/>
    <w:rsid w:val="00C212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