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2-89-386/2023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с участием ответчика –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организации”» к </w:t>
      </w:r>
      <w:r>
        <w:t>фио</w:t>
      </w:r>
      <w:r>
        <w:t xml:space="preserve"> о взыскании задолженности по оплате жилого помещения и коммунальных услуг,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организации”»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 xml:space="preserve">в пользу наименование организации”» </w:t>
      </w:r>
      <w:r>
        <w:t xml:space="preserve"> сумму задолженности по оплате жилого помещения и коммунальных услуг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сумма, а также судебные расходы, связанные с оплатой государственной пошлины в размере сумма</w:t>
      </w:r>
    </w:p>
    <w:p w:rsidR="00A77B3E">
      <w:r>
        <w:t xml:space="preserve">Решение может быть обжаловано в Феодосийский городской </w:t>
      </w:r>
      <w:r>
        <w:t>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</w:t>
      </w:r>
      <w:r>
        <w:t>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</w:t>
      </w:r>
      <w:r>
        <w:t>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</w:t>
      </w:r>
      <w:r>
        <w:t xml:space="preserve">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/подпись/    </w:t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0F"/>
    <w:rsid w:val="007168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