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2-89-487/2023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за коммунальные услуги, -</w:t>
      </w:r>
    </w:p>
    <w:p w:rsidR="00A77B3E">
      <w:r>
        <w:t>Р Е Ш И Л:</w:t>
      </w:r>
    </w:p>
    <w:p w:rsidR="00A77B3E">
      <w:r>
        <w:t>Иск наименование организации удовлетворить частично.</w:t>
      </w:r>
    </w:p>
    <w:p w:rsidR="00A77B3E">
      <w:r>
        <w:t xml:space="preserve">Взыскать с </w:t>
      </w:r>
      <w:r>
        <w:t>фио</w:t>
      </w:r>
      <w:r>
        <w:t>, п</w:t>
      </w:r>
      <w:r>
        <w:t xml:space="preserve">аспортные данные </w:t>
      </w:r>
      <w:r>
        <w:t xml:space="preserve">в пользу наименование организации </w:t>
      </w:r>
      <w:r>
        <w:t>задолженность по уплате взносов на капитальный ремонт общего имущества многоквартирного жилого дома, расположенного по адресу: адрес, адрес, за период дата по дата в размере сумма, пеню за неоплату в срок взносо</w:t>
      </w:r>
      <w:r>
        <w:t>в за капитальный ремонт за период с дата по дата в размере сумма Взыскание неустойки производится до момента фактического исполнения обязательства.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 xml:space="preserve">в пользу наименование организации </w:t>
      </w:r>
      <w:r>
        <w:t xml:space="preserve"> </w:t>
      </w:r>
      <w:r>
        <w:t>расходы</w:t>
      </w:r>
      <w:r>
        <w:t xml:space="preserve"> связанные с оплатой государствен</w:t>
      </w:r>
      <w:r>
        <w:t>ной пошлины в размере сумма</w:t>
      </w:r>
    </w:p>
    <w:p w:rsidR="00A77B3E">
      <w:r>
        <w:t>В остальной части исковых требований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</w:t>
      </w:r>
      <w:r>
        <w:t>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</w:t>
      </w:r>
      <w:r>
        <w:t>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</w:t>
      </w:r>
      <w:r>
        <w:t xml:space="preserve">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</w:t>
      </w:r>
      <w:r>
        <w:t xml:space="preserve">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54"/>
    <w:rsid w:val="00A77B3E"/>
    <w:rsid w:val="00AB4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