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2-89-511/2024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№ 1 адрес, зарегистрированной по адресу: адрес, гражданина Российск</w:t>
      </w:r>
      <w:r>
        <w:t xml:space="preserve">ой Федерации (паспортные данные 900-004),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</w:t>
      </w:r>
      <w:r>
        <w:t xml:space="preserve"> 30101810335100000607,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</w:t>
      </w:r>
      <w:r>
        <w:t>ции, получатель 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Решение может быть обжаловано в Феодосийский городской суд адрес в течение месяца со дня </w:t>
      </w:r>
      <w:r>
        <w:t>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</w:t>
      </w:r>
      <w:r>
        <w:t>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</w:t>
      </w:r>
      <w:r>
        <w:t>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16"/>
    <w:rsid w:val="009C18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