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2-89-859/2023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</w:t>
      </w:r>
      <w:r>
        <w:t xml:space="preserve">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код подразделения телефон, зарегистрированной по адресу: адрес, в пользу наименование организации </w:t>
      </w:r>
      <w:r>
        <w:t>задолженность по уплате взносов на капитальный ремонт общего имущества многоквартирного жилого дома, расположенного по адресу: адрес, за период с дата по дата в размере сумма, пеню за неоплату в срок взносов за капитальный ремонт за пе</w:t>
      </w:r>
      <w:r>
        <w:t>риод с дата по дата в размере  сумма Взыскание неустойки производится до момента фактического исполнения обязательства.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в по</w:t>
      </w:r>
      <w:r>
        <w:t xml:space="preserve">льзу наименование организации </w:t>
      </w:r>
      <w:r>
        <w:t>Осущес</w:t>
      </w:r>
      <w:r>
        <w:t xml:space="preserve">твить зачет уплаченной наименование организации 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</w:t>
      </w:r>
    </w:p>
    <w:p w:rsidR="00A77B3E">
      <w:r>
        <w:t>В остальной части исковых требований отказать.</w:t>
      </w:r>
    </w:p>
    <w:p w:rsidR="00A77B3E">
      <w:r>
        <w:t>Решение может быть обжаловано в Феодос</w:t>
      </w:r>
      <w:r>
        <w:t>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Согласно частей 3, 4 ст.199 Гражданского процессуального кодекса РФ мировой судья может не </w:t>
      </w:r>
      <w:r>
        <w:t>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>
        <w:t>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</w:t>
      </w:r>
      <w:r>
        <w:t>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6"/>
    <w:rsid w:val="00A77B3E"/>
    <w:rsid w:val="00D47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