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Дело №02-0465/9/2025</w:t>
      </w:r>
    </w:p>
    <w:p w:rsidR="00A77B3E">
      <w:r>
        <w:t xml:space="preserve">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ведении протокола судебного заседания секретарем судебного заседания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процентов за пользование чужими денежными средствами,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в удовлетворении искового заявления наименование организации к фио о взыскании процентов за пользование чужими денежными средствами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 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