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2-91-643/2026                                 </w:t>
      </w:r>
    </w:p>
    <w:p w:rsidR="00A77B3E">
      <w:r>
        <w:t xml:space="preserve">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фио, </w:t>
      </w:r>
    </w:p>
    <w:p w:rsidR="00A77B3E">
      <w:r>
        <w:t xml:space="preserve">              с участием ответчика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Исковые требования наименование организации к фио о взыскании задолженности по оплате взносов на капитальный ремонт общего имущества в многоквартирном доме – удовлетворить полностью.</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за период с дата по дата в размере сумма, а также расходы по оплате государственной пошлины в размере сумма </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неустойку, начисляемую на сумму задолженности, рассчитанную в соответствии с частью 14.1 статьи 155 Жилищного кодекса Российской Федерации, за период с дата по дату фактического погашения задолженности включительно.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