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1-22-10/2017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  </w:t>
      </w:r>
    </w:p>
    <w:p w:rsidR="00A77B3E">
      <w:r>
        <w:t>защитника фио,  представившей удостоверение №1182,  ордер №30 от дата,</w:t>
      </w:r>
    </w:p>
    <w:p w:rsidR="00A77B3E">
      <w:r>
        <w:t xml:space="preserve"> при секретаре     фио,    </w:t>
      </w:r>
    </w:p>
    <w:p w:rsidR="00A77B3E">
      <w:r>
        <w:t>рассмотрев в открытом судебном заседании  уголовное дело в отношении фио, паспортные данные; гражданина адрес; зарегистрированного по адресу: адрес; с дата фактически проживающего по адресу:  адрес; с неоконченным высшим  образованием;  не состоящего в зарегистрированном браке; временно не трудоустроенного; невоеннообязанного; не состоящего на учете  у  врача-психиатра и  врача-нарколога;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фио совершил преступление, предусмотренное ст. 264.1 УК РФ  -управление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Феодосийского городского суда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вновь совершил аналогичное правонарушение.  Так,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за руль мотоцикла «Лидер ML50-25» государственный регистрационный знак 1425АА 82,  и,  запустив двигатель мотоцикла, стал управлять им. После чего  дата  примерно в время  на  688км+500м  адрес «граница с Украиной-Симферополь-Алушта-Ялта» был остановлен   сотрудниками  фио ДПС ГИБДД 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имеет правовой регистрации по постоянному месту жительства на адрес; с дата фактически проживает по адресу: адрес; по месту жительства характеризуется посредственно; не состоит  в зарегистрированном браке; официально не трудоустроен; на учете врача-психиатра и врача-нарколога не состоит; в дата привлекался к административной ответственности; ранее не судим (л.д. 61-70);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им своей  вины и  раскаяние в содеянном.</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в настоящее время официально не трудоустроен; до настоящего времени не оплатил административный штраф в размере сумма, назначенный постановлением Феодосийского городского суда  адрес от дата; он не является лицом, указанным в ч.4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160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 виде лишения права заниматься определенной деятельностью, а именно,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160 (сто шестьдесят) часов с лишением права заниматься   деятельностью по управлению транспортными средствами на срок 2 (два) года.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мотоцикл «Лидер ML50-25» государственный регистрационный знак 1425АА 82,    хранящийся на специализированной стоянке по адресу: адрес,  вернуть законному  владельцу.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