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Дело № 1-24-19/2019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</w:t>
        <w:tab/>
        <w:tab/>
        <w:tab/>
        <w:t xml:space="preserve">         адрес</w:t>
      </w:r>
    </w:p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фио</w:t>
      </w:r>
    </w:p>
    <w:p w:rsidR="00A77B3E">
      <w:r>
        <w:t>защитника подсудимого, представившего</w:t>
      </w:r>
    </w:p>
    <w:p w:rsidR="00A77B3E">
      <w:r>
        <w:t>ордер на участие в деле № 21 от дата –              адвоката 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..., со средним специальным образованием, не женатого, не работающего, зарегистрированного по адресу: адрес, ..., на территории адрес проживающего по адресу: адрес, адрес, не судимого,</w:t>
      </w:r>
    </w:p>
    <w:p w:rsidR="00A77B3E">
      <w:r>
        <w:t>обвиняемого в совершении преступления, предусмотренного ч. 1 ст. 158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совершила кражу, то есть тайное хищение чужого имущества, при следующих обстоятельствах.</w:t>
      </w:r>
    </w:p>
    <w:p w:rsidR="00A77B3E">
      <w:r>
        <w:t>Так, подсудимый фио дата примерно в время, будучи в состоянии опьянения, вызванном употреблением алкоголя, имея преступный умысел, направленный на тайное хищение чужого имущества, из корыстных побуждений, находясь в районе кафе «Сальвадор», расположенного по адресу: адрес, адрес, убедившись, что за его действиями никто не наблюдает, путем свободного доступа, со столика тайно похитил принадлежащую фио портативную колонку «...» стоимостью сумма, обратив ее в свою пользу, причинив тем самым материальный ущерб потерпевшему на указанную выше сумму.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поддержал, государственный обвинитель не возражала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предусмотренного ч. 1 ст. 158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мировой судья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считаю,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ч. 1 ст. 158 УК РФ, как кража, то есть тайное хищение чужого имущества.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указанное деяние совершил подсудимый и оно предусмотрено ч. 1 ст. 158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учитывается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не женат, не работает, по месту жительства характеризуется посредственно (л.д. 41); не судим (л.д. 39, 40), на учете у врачей – нарколога и психиатра - не состоит (л.д. 37, 38).</w:t>
      </w:r>
    </w:p>
    <w:p w:rsidR="00A77B3E">
      <w:r>
        <w:t xml:space="preserve">Кроме того, судом учитываются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подсудимому, суд учитывает явку с повинной (л.д. 20), а также признание вины и чистосердечное раскаяние.</w:t>
      </w:r>
    </w:p>
    <w:p w:rsidR="00A77B3E">
      <w:r>
        <w:t>Учитывая характер и степень общественной опасности преступления, обстоятельства его совершения и личность виновного, мировой судья, в соответствии с ч. 1.1 ст. 63 УК РФ, отягчающим наказание обстоятельством признает совершение преступления в состоянии опьянения, вызванном употреблением алкоголя.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им новых преступлений, с учетом данных о личности подсудимого, наличия ряда смягчающих и отягчающего наказание обстоятельств, суд считает возможным назначить фио наказание в виде штрафа, как меру ответственности за совершенное деяние. Оснований для применения более строгого вида наказания не имеется.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ст. 82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виновным в совершении преступления, предусмотренного ч. 1 ст. 158 УК Российской Федерации, и назначить ему наказание в виде штрафа в размере сумма.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Вещественное доказательство по делу: портативную колонку «...» с наплечным ремнем, находящуюся на хранении у фио (л.д. 44-46), - оставить последнему по принадлежности.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