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1-29-15/20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Р И Г О В О Р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ИМЕНЕМ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РОССИЙСКОЙ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ФЕДЕРАЦИИ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13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судебного участка № 29 Бахч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сарайского судебного района (</w:t>
      </w:r>
      <w:r>
        <w:rPr>
          <w:rStyle w:val="cat-Addressgrp-1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0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Черкашин А.Ю., при секретаре судебного заседания Мартыненко Т.С., с участием государственного обвинителя помощника прокурора </w:t>
      </w:r>
      <w:r>
        <w:rPr>
          <w:rStyle w:val="cat-Addressgrp-4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Суходоловой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Маколдина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защитника </w:t>
      </w:r>
      <w:r>
        <w:rPr>
          <w:rFonts w:ascii="Times New Roman" w:eastAsia="Times New Roman" w:hAnsi="Times New Roman" w:cs="Times New Roman"/>
          <w:sz w:val="28"/>
          <w:szCs w:val="28"/>
        </w:rPr>
        <w:t>Чугунова П.В.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смотрев в открытом судебном заседании 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уголовное дело по обв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нению: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Маколдина Евгения Анатольевича, </w:t>
      </w:r>
      <w:r>
        <w:rPr>
          <w:rStyle w:val="cat-Dategrp-14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4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РФ, со средне-специальным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разованием, холостого, официально не трудоустроенного, военнообязанного,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регистрированного по адресу: </w:t>
      </w:r>
      <w:r>
        <w:rPr>
          <w:rStyle w:val="cat-Addressgrp-6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Addressgrp-7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судимого</w:t>
      </w:r>
      <w:r>
        <w:rPr>
          <w:rFonts w:ascii="Times New Roman" w:eastAsia="Times New Roman" w:hAnsi="Times New Roman" w:cs="Times New Roman"/>
          <w:sz w:val="28"/>
          <w:szCs w:val="28"/>
        </w:rPr>
        <w:t>, обвиняемого в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вершении преступления,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>п. «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Маколдин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преступление,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>п. «</w:t>
      </w:r>
      <w:r>
        <w:rPr>
          <w:rFonts w:ascii="Times New Roman" w:eastAsia="Times New Roman" w:hAnsi="Times New Roman" w:cs="Times New Roman"/>
          <w:sz w:val="28"/>
          <w:szCs w:val="28"/>
        </w:rPr>
        <w:t>а,б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следующих обстоятел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ствах:</w:t>
      </w:r>
    </w:p>
    <w:p>
      <w:pPr>
        <w:spacing w:before="0" w:after="0"/>
        <w:ind w:firstLine="760"/>
        <w:jc w:val="both"/>
        <w:rPr>
          <w:sz w:val="28"/>
          <w:szCs w:val="28"/>
        </w:rPr>
      </w:pPr>
      <w:r>
        <w:rPr>
          <w:rStyle w:val="cat-Dategrp-15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Маколдин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Е.А., находясь по адресу: </w:t>
      </w:r>
      <w:r>
        <w:rPr>
          <w:rStyle w:val="cat-Addressgrp-8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9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сформировал преступный ум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сел, направленный на совершение незаконной охоты на особь самца Благородного оленя, на территории охотничьего угодья </w:t>
      </w:r>
      <w:r>
        <w:rPr>
          <w:rStyle w:val="cat-OrganizationNamegrp-35rplc-2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 Далее Маколин Е.А., имея преступный умысел, направленный на незаконную добычу диких ж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вотных, т.е. охоту, осознавая общественную опасность своих действий, и де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ствуя умышленно, предвидя неизбежность наступления общественно опасных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следствий, и желая их наступления, достоверно зная о том, что осуществление охоты на терр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тории охотничьего угодья </w:t>
      </w:r>
      <w:r>
        <w:rPr>
          <w:rStyle w:val="cat-OrganizationNamegrp-35rplc-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запрещено, имея при себе снаряженное патронами 32 калибра одно длинноствольное, гладк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ствольное, казнозарядное огнестрельное оружие, а именно: ружье, которое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гласно заключения эксперта №5/439 от </w:t>
      </w:r>
      <w:r>
        <w:rPr>
          <w:rStyle w:val="cat-Dategrp-16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является длинноствольным, гладкоствольным, казнозарядным огнестрельным оружием - одноствольным охотничьим ружьем модели </w:t>
      </w:r>
      <w:r>
        <w:rPr>
          <w:rFonts w:ascii="Times New Roman" w:eastAsia="Times New Roman" w:hAnsi="Times New Roman" w:cs="Times New Roman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3-32, </w:t>
      </w:r>
      <w:r>
        <w:rPr>
          <w:rFonts w:ascii="Times New Roman" w:eastAsia="Times New Roman" w:hAnsi="Times New Roman" w:cs="Times New Roman"/>
          <w:sz w:val="28"/>
          <w:szCs w:val="28"/>
        </w:rPr>
        <w:t>32 калибра, затвор №63591, (ствол №6*00), изготовленным промышленным способом, ружье для стрельбы пригодно, в нар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шение требований части 1, 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сти 3 статьи 14, части 3 статьи 20, части 3 статьи 23, части 2 статьи 29 Федерального закона от </w:t>
      </w:r>
      <w:r>
        <w:rPr>
          <w:rStyle w:val="cat-Dategrp-17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209-ФЗ «Об охоте 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хранении охотничьих ресурсов и о внесении изменений в отдельные законод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тельные акты Российской Федерации», подпункта 5.1, 5.2 (подпункта 5.2.1, 5.2.2, 5.2.4) пункта 5 Правил охоты, утвержденных приказом Минприроды России от </w:t>
      </w:r>
      <w:r>
        <w:rPr>
          <w:rStyle w:val="cat-Dategrp-18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477, не являясь членом общества охотников и рыболовов, не имея разрешения на добычу охотничьих ресурсов на данной территории, путевки, без охотничьего билета единого федерального образца, не имея разрешения на нош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и хранение охотничьего огнестрельного оружия, имея умысел, направленный на незаконную охоту, действуя умышленно, прибыл на территорию охотничьего угодья </w:t>
      </w:r>
      <w:r>
        <w:rPr>
          <w:rStyle w:val="cat-OrganizationNamegrp-35rplc-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стал двигаться по лесному массиву, 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дущему на участок местности, имеющий географические координаты 44.571231, северной широты, 33.970880 восточной долготы, осуществляя поиск и выслеживание с 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шеуказанным оружием по пути движения диких животных - Благородных оленей. Прибыв на участок местности лесного массива, расположенного вблизи </w:t>
      </w:r>
      <w:r>
        <w:rPr>
          <w:rStyle w:val="cat-Addressgrp-9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Маколдин Е.А., имея при себе вышеуказанное заряженное огнестрельное оружие,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должил незаконную охоту на вышеуказанном участке местности, в результате которой в </w:t>
      </w:r>
      <w:r>
        <w:rPr>
          <w:rStyle w:val="cat-Timegrp-36rplc-3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5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на участке местности, имеющем географические координ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ты: </w:t>
      </w:r>
      <w:r>
        <w:rPr>
          <w:rStyle w:val="cat-UserDefinedgrp-43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северной широты, </w:t>
      </w:r>
      <w:r>
        <w:rPr>
          <w:rStyle w:val="cat-UserDefinedgrp-44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восточной долготы, увидев на расст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янии 40 метров от себя дикое животное, а именно одну особь самца Благородного оленя, с целью добычи кот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рого, последний, прицелившись, произвел выстрел из имеющегося при нем огнестрельного оружия, которое согласно заключения эк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перта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5/439 от </w:t>
      </w:r>
      <w:r>
        <w:rPr>
          <w:rStyle w:val="cat-Dategrp-16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является длинноствольным, гладкоствольным, ка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нозарядным огнестрельным оружием -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дноствольным охотничьим ружьем мод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3-32, </w:t>
      </w:r>
      <w:r>
        <w:rPr>
          <w:rFonts w:ascii="Times New Roman" w:eastAsia="Times New Roman" w:hAnsi="Times New Roman" w:cs="Times New Roman"/>
          <w:sz w:val="28"/>
          <w:szCs w:val="28"/>
        </w:rPr>
        <w:t>32 калибра, затвор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63591, (ствол №6*00), изготовленным промы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ленным способом. Ружье для стрельбы пригодно.</w:t>
      </w:r>
    </w:p>
    <w:p>
      <w:pPr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Поразив животное (одну особь самца Благородного оленя) снарядом огн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стрельного гладкоствольного оружия в область левой боковой поверхности гру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ной клетки, за локтевым суставом, в результате чего дикое животное, которое явилось - самцом Благородного оленя, упало на землю на участке местности ле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массива имеющего географические координаты: </w:t>
      </w:r>
      <w:r>
        <w:rPr>
          <w:rStyle w:val="cat-UserDefinedgrp-45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северной шир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ты, </w:t>
      </w:r>
      <w:r>
        <w:rPr>
          <w:rStyle w:val="cat-UserDefinedgrp-46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восточной долготы. Причиной смерти данного дикого животного согласно заключению о причине смерти животного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421/61 от </w:t>
      </w:r>
      <w:r>
        <w:rPr>
          <w:rStyle w:val="cat-Dategrp-19rplc-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стало нарушение целостности органов и тканей грудной клетки, не совместимые с жи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нью, всле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ствие приникающей раны грудной полости, которая предположительно носит огнестрельный характер, тем самым Маколдин Е.А., совершил незаконную охоту, на одну особь самца Благородного оленя. После чего Маколдин Е.А.,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должая свои преступные действия, направился по адресу: </w:t>
      </w:r>
      <w:r>
        <w:rPr>
          <w:rStyle w:val="cat-Addressgrp-10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9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где взяв в пользование у </w:t>
      </w:r>
      <w:r>
        <w:rPr>
          <w:rStyle w:val="cat-FIOgrp-27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принадлежащее последнему транспортное средство, а именно 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томобиль марки </w:t>
      </w:r>
      <w:r>
        <w:rPr>
          <w:rStyle w:val="cat-CarMakeModelgrp-38rplc-5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государственного номерного регистрационного знака и вместе с ним направился на место совершения преступления, с целью транспо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тировки незаконно добытого дикого животного са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ца Благородного оленя.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быв на вышеуказанном автомобиле к месту совершения преступления с целью транспортировки Маколдин Е.А. и </w:t>
      </w:r>
      <w:r>
        <w:rPr>
          <w:rStyle w:val="cat-FIOgrp-27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Style w:val="cat-Timegrp-37rplc-5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5rplc-5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взяли данное незаконно добытое дикое животное и погрузили его в кузов данного транспортного средства и направились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адресу: </w:t>
      </w:r>
      <w:r>
        <w:rPr>
          <w:rStyle w:val="cat-Addressgrp-11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9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 целью использования в личных ц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лях, а именно в пищу, где двигаясь по грунтовой дороге, были застигнуты рабо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никами </w:t>
      </w:r>
      <w:r>
        <w:rPr>
          <w:rStyle w:val="cat-OrganizationNamegrp-35rplc-5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 Таким образом, Маколдин Е.А., совершил незако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ную охоту с применением механического транспортного средства на одну особь самца Благородного оленя на территории охотничьего угодья </w:t>
      </w:r>
      <w:r>
        <w:rPr>
          <w:rStyle w:val="cat-OrganizationNamegrp-35rplc-5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противоправных действий Маколдина Е.А., Министерству экологии и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родных ресурсов </w:t>
      </w:r>
      <w:r>
        <w:rPr>
          <w:rStyle w:val="cat-Addressgrp-0rplc-6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информацией о расчете размера вреда, причиненного охотничьим ресурсам вследствие их нез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конной добычи, для целей квалификации статьи 258 УК РФ причинен имущ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ственный вред в сумме 70 000 рублей, что является крупным ущербом.</w:t>
      </w:r>
    </w:p>
    <w:p>
      <w:pPr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Маколдин Е.А., совершил преступление, предусмо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ренное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.п. «</w:t>
      </w:r>
      <w:r>
        <w:rPr>
          <w:rFonts w:ascii="Times New Roman" w:eastAsia="Times New Roman" w:hAnsi="Times New Roman" w:cs="Times New Roman"/>
          <w:sz w:val="28"/>
          <w:szCs w:val="28"/>
        </w:rPr>
        <w:t>а,б</w:t>
      </w:r>
      <w:r>
        <w:rPr>
          <w:rFonts w:ascii="Times New Roman" w:eastAsia="Times New Roman" w:hAnsi="Times New Roman" w:cs="Times New Roman"/>
          <w:sz w:val="28"/>
          <w:szCs w:val="28"/>
        </w:rPr>
        <w:t>» ч.1 ст. 258 УК РФ - незаконная охота, если это деяние совершено с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чинением крупного ущерба и с применением механического транспортного сре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Макодин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свою признал полн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стью.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ознакомлении с материалами уголовного дела, а также в судебном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дании подсудимый заявил о полном согласии с предъявле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ным ему обвинением, и в соответствии со ст. 315 УПК РФ ходатайств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вал о постановлении приговора без проведения судебного разбирательства. При этом подсудимый мировому 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дье пояснил, что ходатайство им заявлено добровольно после консультации с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щитником, он осознает характер и последствия постановления приговора без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ведения судебного разбирательства.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защитник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представитель потерпевшего Мат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ченко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согласны с рассмотрением уголо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ного дела в особом порядке, то есть с постановлением приговора без проведения 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дебного разбирательства.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выслушав стороны и проверив материалы дела, приходит к выводам, что обвинение, с которым согласился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Маколдин Е.А.</w:t>
      </w:r>
      <w:r>
        <w:rPr>
          <w:rFonts w:ascii="Times New Roman" w:eastAsia="Times New Roman" w:hAnsi="Times New Roman" w:cs="Times New Roman"/>
          <w:sz w:val="28"/>
          <w:szCs w:val="28"/>
        </w:rPr>
        <w:t>, обоснованно и подтверждается доказательствами, собранными по уголовному 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лу, условия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приговора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без проведения судебного разбирательства, предусмотренные ст.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315 УПК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соблюдены: подсудимый понимает существо предъявленного ему обвинения и соглашается с ним в полном объеме, он сво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временно, добровольно и в присутствии защитника заявил ходатайство об особом порядке, осознает характер и последствия заявленного им ходатайства, у государственного обвинителя и потерпевшей не имеется возражений против ра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смотрения дела в особом порядке, поэтому считает необходимым постановить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винительный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приговор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без проведения судебного разбир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Санкция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>п. «</w:t>
      </w:r>
      <w:r>
        <w:rPr>
          <w:rFonts w:ascii="Times New Roman" w:eastAsia="Times New Roman" w:hAnsi="Times New Roman" w:cs="Times New Roman"/>
          <w:sz w:val="28"/>
          <w:szCs w:val="28"/>
        </w:rPr>
        <w:t>а,б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РФ предусматривает макси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мальное наказание в виде лишения свободы до двух лет.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судья, с учетом позиции государственного обвинителя, квалифиц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Маколдина Е.А.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п.</w:t>
      </w:r>
      <w:r>
        <w:rPr>
          <w:rFonts w:ascii="Times New Roman" w:eastAsia="Times New Roman" w:hAnsi="Times New Roman" w:cs="Times New Roman"/>
          <w:sz w:val="28"/>
          <w:szCs w:val="28"/>
        </w:rPr>
        <w:t>п. «</w:t>
      </w:r>
      <w:r>
        <w:rPr>
          <w:rFonts w:ascii="Times New Roman" w:eastAsia="Times New Roman" w:hAnsi="Times New Roman" w:cs="Times New Roman"/>
          <w:sz w:val="28"/>
          <w:szCs w:val="28"/>
        </w:rPr>
        <w:t>а,б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признаку: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законная охота, если это деяние совершено с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чинением крупного ущерба и с применением механического транспортного сре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решении вопроса о назначении наказания, суд в соответствии со ст. 60 УК РФ учитывает характер и степень общественной опасности преступления и личность виновного, в том числе обстоятельства, смягчающие и отягчающие наказание, а также влияние назначенного наказ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ния на исправление осужденного.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Маколдин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преступление небольшой тяжести, является гра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данином Российской Федерации, официально не трудоустроен,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судим, на учете у врача нарколога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психиатра </w:t>
      </w:r>
      <w:r>
        <w:rPr>
          <w:rFonts w:ascii="Times New Roman" w:eastAsia="Times New Roman" w:hAnsi="Times New Roman" w:cs="Times New Roman"/>
          <w:sz w:val="28"/>
          <w:szCs w:val="28"/>
        </w:rPr>
        <w:t>не состоит, по месту жительства и регистрации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рекомендовал себя с посредственной стороны, общественный порядок не наруш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ет, участия в жизни села не принимает. Связь с лицами, ведущими антиобщ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ственный образ жизни, не поддерживает. Жалобы и нарекания от соседей не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ступали.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>п. «и</w:t>
      </w:r>
      <w:r>
        <w:rPr>
          <w:rFonts w:ascii="Times New Roman" w:eastAsia="Times New Roman" w:hAnsi="Times New Roman" w:cs="Times New Roman"/>
          <w:sz w:val="28"/>
          <w:szCs w:val="28"/>
        </w:rPr>
        <w:t>,к</w:t>
      </w:r>
      <w:r>
        <w:rPr>
          <w:rFonts w:ascii="Times New Roman" w:eastAsia="Times New Roman" w:hAnsi="Times New Roman" w:cs="Times New Roman"/>
          <w:sz w:val="28"/>
          <w:szCs w:val="28"/>
        </w:rPr>
        <w:t>» ч. 1 ст. 61 УК РФ смягчающими наказание обст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ятельствами суд признает явку с повинной, активное способствов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ние раскрытию и расследованию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>, добровольное возмещение имущественного ущерба причиненного потерпевшему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наказание обвиняемого </w:t>
      </w:r>
      <w:r>
        <w:rPr>
          <w:rFonts w:ascii="Times New Roman" w:eastAsia="Times New Roman" w:hAnsi="Times New Roman" w:cs="Times New Roman"/>
          <w:sz w:val="28"/>
          <w:szCs w:val="28"/>
        </w:rPr>
        <w:t>Маколдина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не установлено.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размер наказания, учитывая вышеизложенное, исходя из фактических обстоятельств совершенного преступления, отсутствие обстоятел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ств, предусмотренных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49 УК РФ, с учетом требований разумности 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размерности, достижения целей, определенных уголовным законом, суд приходит к выводу о назначении наказания в 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де исправительных работ.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мнению мирового судьи, именно данный вид наказания будет необх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димым и достаточным для исправления и перевоспитания подсудимого. При этом, будут достигнуты предусмотренные ст.43 УК РФ цели наказания, состо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щие в исправлении осужденного и предупреждения совершения новых престу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лений.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 исключительных обстоятельств, связанных с цел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ми и мотивами преступления, поведением подсудимого во время или после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вершения преступления, и других обстоятельств, существенно уменьшающих степень общественной опасности преступления, в связи с чем, не имеется основ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ний для назначения наказания в соответствии со ст. 64 УК РФ ниже низшего пр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дела.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применения ст.15 УК РФ и изменения категории престу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ления на менее тяжкую не имеется, поскольку преступление,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>п. «</w:t>
      </w:r>
      <w:r>
        <w:rPr>
          <w:rFonts w:ascii="Times New Roman" w:eastAsia="Times New Roman" w:hAnsi="Times New Roman" w:cs="Times New Roman"/>
          <w:sz w:val="28"/>
          <w:szCs w:val="28"/>
        </w:rPr>
        <w:t>а,б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относится к категории не большой тяжести.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обстоятельства совершенного преступления, характеризующие личность подсудимого данные, учитывая, что подсудимый не судим,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вершил преступление небольшой тяжести, имеет постоянное место жительства, в содея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ном раскаялся, вину в совершении преступления признал, полностью во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местил причиненный преступлением ущерб,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приходит к выводу о во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можности исправления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Маколдина ЕА</w:t>
      </w:r>
      <w:r>
        <w:rPr>
          <w:rFonts w:ascii="Times New Roman" w:eastAsia="Times New Roman" w:hAnsi="Times New Roman" w:cs="Times New Roman"/>
          <w:sz w:val="28"/>
          <w:szCs w:val="28"/>
        </w:rPr>
        <w:t>. без реального отбывания наказания и применения к нему в порядке ст.</w:t>
      </w:r>
      <w:hyperlink r:id="rId6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73 УК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условного наказания.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не заявлен.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Мера пресечения </w:t>
      </w:r>
      <w:r>
        <w:rPr>
          <w:rFonts w:ascii="Times New Roman" w:eastAsia="Times New Roman" w:hAnsi="Times New Roman" w:cs="Times New Roman"/>
          <w:sz w:val="28"/>
          <w:szCs w:val="28"/>
        </w:rPr>
        <w:t>Маколдину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избиралась. Избрана мера принужд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в виде обязательства о явке.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Судьбу вещественных доказательств, мировой судья определяет с учетом треб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ваний </w:t>
      </w:r>
      <w:hyperlink r:id="rId7" w:anchor="/document/12125178/entry/8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81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УПК РФ.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адвокат </w:t>
      </w:r>
      <w:r>
        <w:rPr>
          <w:rFonts w:ascii="Times New Roman" w:eastAsia="Times New Roman" w:hAnsi="Times New Roman" w:cs="Times New Roman"/>
          <w:sz w:val="28"/>
          <w:szCs w:val="28"/>
        </w:rPr>
        <w:t>Чугунов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участие в уголовном судопр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изводстве по назначению, в соответствии со ст. ст. 131, 132 УПК РФ процесс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альные издержки подлежат возмещению за счет средств федерального бюдж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ст.ст.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anchor="/document/12125178/entry/30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307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-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309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316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 процессуального кодекса Российской Федерации,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ПРИГОВОРИЛ: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Маколдна Евгения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п.п.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а,б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назначить ему наказ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в виде исправительных работ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(девять)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 с удержанием из заработка 5% в доход государства с отбыванием наказания в местах, определя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мых органами местного самоуправления по согласованию с уголовно - исполн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тельными инспекциями, но в районе места ж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тельства осуждённо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ст.</w:t>
      </w:r>
      <w:hyperlink r:id="rId6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73 УК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назначенное наказание в виде исправительных работ считать условным с испытательным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сроком 10 месяцев, возложив на осу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денного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обязанности: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 менять места жительства без уведомления специализированного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дарственного органа, осуществляющего исправление осужденног</w:t>
      </w:r>
      <w:r>
        <w:rPr>
          <w:rFonts w:ascii="Times New Roman" w:eastAsia="Times New Roman" w:hAnsi="Times New Roman" w:cs="Times New Roman"/>
          <w:sz w:val="28"/>
          <w:szCs w:val="28"/>
        </w:rPr>
        <w:t>о;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проходить регистрацию один раз в месяц в дни, установленные этим 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Испытательный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Маколдина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исчислять с момента вступления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говора в законную силу. Зачесть в испытательный срок время, прошедшее со дня провозглаш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приговора.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явке </w:t>
      </w:r>
      <w:r>
        <w:rPr>
          <w:rFonts w:ascii="Times New Roman" w:eastAsia="Times New Roman" w:hAnsi="Times New Roman" w:cs="Times New Roman"/>
          <w:sz w:val="28"/>
          <w:szCs w:val="28"/>
        </w:rPr>
        <w:t>Маколдину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отменить, после вступления приговора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осужденному </w:t>
      </w:r>
      <w:r>
        <w:rPr>
          <w:rFonts w:ascii="Times New Roman" w:eastAsia="Times New Roman" w:hAnsi="Times New Roman" w:cs="Times New Roman"/>
          <w:sz w:val="28"/>
          <w:szCs w:val="28"/>
        </w:rPr>
        <w:t>Маколдину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положения ст. 74 УК РФ - если условно осужденный уклонился от исполнения возложенных на него судом об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занн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стей, или совершил нарушение общественного порядка, за которое он был привлечен к административной ответственности, суд по представлению органа, указанного в части первой настоящей статьи, может продлить испытательный срок, но не более чем на один год. Если условно осужденный в течение испыт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тельного срока систематически нарушал общественный порядок, за что привл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кался к административной ответственности, систематически не исполнял возл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женные на него судом обязанности либо скрылся от контроля, суд по представл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нию органа, указанного в части первой настоящей статьи, может вынести реш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 об отмене условного осуждения и исполнении наказания, назначенного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говором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не заявлен.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Вещественное доказательство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автомобиль марки </w:t>
      </w:r>
      <w:r>
        <w:rPr>
          <w:rStyle w:val="cat-CarMakeModelgrp-38rplc-7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государственного номерного регистрационного знака, признан</w:t>
      </w:r>
      <w:r>
        <w:rPr>
          <w:rFonts w:ascii="Times New Roman" w:eastAsia="Times New Roman" w:hAnsi="Times New Roman" w:cs="Times New Roman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ственным доказательством по уголовному делу и сдан</w:t>
      </w:r>
      <w:r>
        <w:rPr>
          <w:rFonts w:ascii="Times New Roman" w:eastAsia="Times New Roman" w:hAnsi="Times New Roman" w:cs="Times New Roman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хранение на территорию размещения крупног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баритных вещественных доказательств при ОМВД России по </w:t>
      </w:r>
      <w:r>
        <w:rPr>
          <w:rStyle w:val="cat-Addressgrp-12rplc-7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квитанция №1082</w:t>
      </w:r>
      <w:r>
        <w:rPr>
          <w:rFonts w:ascii="Times New Roman" w:eastAsia="Times New Roman" w:hAnsi="Times New Roman" w:cs="Times New Roman"/>
          <w:sz w:val="28"/>
          <w:szCs w:val="28"/>
        </w:rPr>
        <w:t>- передать по принадлежности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-веревк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карабином, признан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вещественным доказательством по уг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ловному делу и сдан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хранение в камеру хранения вещественных доказ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тельств при ОМВД России по </w:t>
      </w:r>
      <w:r>
        <w:rPr>
          <w:rStyle w:val="cat-Addressgrp-12rplc-7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квитанция №1081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держимое объекта №1, а именно двух полимерных пакетов черного цв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та одетых друг к др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 на встречу, внутри которых согласно заключения эксперта №5/439 от </w:t>
      </w:r>
      <w:r>
        <w:rPr>
          <w:rStyle w:val="cat-Dategrp-16rplc-7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находится ружье, является длинноствольным, гладкоствольным, ка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нозарядным огнестрельным оружием — одноствольным охотничьим ружьем 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дели </w:t>
      </w:r>
      <w:r>
        <w:rPr>
          <w:rFonts w:ascii="Times New Roman" w:eastAsia="Times New Roman" w:hAnsi="Times New Roman" w:cs="Times New Roman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3-32, </w:t>
      </w:r>
      <w:r>
        <w:rPr>
          <w:rFonts w:ascii="Times New Roman" w:eastAsia="Times New Roman" w:hAnsi="Times New Roman" w:cs="Times New Roman"/>
          <w:sz w:val="28"/>
          <w:szCs w:val="28"/>
        </w:rPr>
        <w:t>32 калибра, затвор №63591, (ствол №6*00), изготовленным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мышленным способом, </w:t>
      </w:r>
      <w:r>
        <w:rPr>
          <w:rFonts w:ascii="Times New Roman" w:eastAsia="Times New Roman" w:hAnsi="Times New Roman" w:cs="Times New Roman"/>
          <w:sz w:val="28"/>
          <w:szCs w:val="28"/>
        </w:rPr>
        <w:t>сда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камеру хранения вещественных доказательств при МВД по </w:t>
      </w:r>
      <w:r>
        <w:rPr>
          <w:rStyle w:val="cat-Addressgrp-0rplc-8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уничтожить.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Процессуальные издержки, связанные с расходами на оплату труда защи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ника, возместить за счет средств федерального бюджета, возл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жить обязанность по их выплате на Управление судебного департамента в </w:t>
      </w:r>
      <w:r>
        <w:rPr>
          <w:rStyle w:val="cat-Addressgrp-0rplc-8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может быть обжалован в Бахчисарайский районный суд </w:t>
      </w:r>
      <w:r>
        <w:rPr>
          <w:rStyle w:val="cat-Addressgrp-0rplc-8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15 суток через мирового судью судебного участка №29 Ба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чисарайского судебного района (</w:t>
      </w:r>
      <w:r>
        <w:rPr>
          <w:rStyle w:val="cat-Addressgrp-1rplc-8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0rplc-8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его провозглашения, </w:t>
      </w:r>
      <w:r>
        <w:rPr>
          <w:rFonts w:ascii="Times New Roman" w:eastAsia="Times New Roman" w:hAnsi="Times New Roman" w:cs="Times New Roman"/>
          <w:sz w:val="28"/>
          <w:szCs w:val="28"/>
        </w:rPr>
        <w:t>а осужденным, содержащимся под стражей, - в тот же срок со д</w:t>
      </w:r>
      <w:r>
        <w:rPr>
          <w:rFonts w:ascii="Times New Roman" w:eastAsia="Times New Roman" w:hAnsi="Times New Roman" w:cs="Times New Roman"/>
          <w:sz w:val="28"/>
          <w:szCs w:val="28"/>
        </w:rPr>
        <w:t>ня вручения ему копий приговора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подачи апелляционной жалобы, осужденный вправе ходатайств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вать о своем участии в рассмотрении дела судом апелляционной инста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ции. 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W w:w="10137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7"/>
      </w:tblGrid>
      <w:tr>
        <w:tblPrEx>
          <w:tblW w:w="10137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Мировой судья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А.Ю. Черкашин</w:t>
            </w:r>
          </w:p>
        </w:tc>
      </w:tr>
    </w:tbl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Dategrp-13rplc-0">
    <w:name w:val="cat-Date grp-13 rplc-0"/>
    <w:basedOn w:val="DefaultParagraphFont"/>
  </w:style>
  <w:style w:type="character" w:customStyle="1" w:styleId="cat-Addressgrp-1rplc-1">
    <w:name w:val="cat-Address grp-1 rplc-1"/>
    <w:basedOn w:val="DefaultParagraphFont"/>
  </w:style>
  <w:style w:type="character" w:customStyle="1" w:styleId="cat-Addressgrp-0rplc-2">
    <w:name w:val="cat-Address grp-0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Addressgrp-4rplc-6">
    <w:name w:val="cat-Address grp-4 rplc-6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Dategrp-14rplc-12">
    <w:name w:val="cat-Date grp-14 rplc-12"/>
    <w:basedOn w:val="DefaultParagraphFont"/>
  </w:style>
  <w:style w:type="character" w:customStyle="1" w:styleId="cat-PassportDatagrp-34rplc-13">
    <w:name w:val="cat-PassportData grp-34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Addressgrp-7rplc-16">
    <w:name w:val="cat-Address grp-7 rplc-16"/>
    <w:basedOn w:val="DefaultParagraphFont"/>
  </w:style>
  <w:style w:type="character" w:customStyle="1" w:styleId="cat-Dategrp-15rplc-18">
    <w:name w:val="cat-Date grp-15 rplc-18"/>
    <w:basedOn w:val="DefaultParagraphFont"/>
  </w:style>
  <w:style w:type="character" w:customStyle="1" w:styleId="cat-Addressgrp-8rplc-20">
    <w:name w:val="cat-Address grp-8 rplc-20"/>
    <w:basedOn w:val="DefaultParagraphFont"/>
  </w:style>
  <w:style w:type="character" w:customStyle="1" w:styleId="cat-Addressgrp-9rplc-21">
    <w:name w:val="cat-Address grp-9 rplc-21"/>
    <w:basedOn w:val="DefaultParagraphFont"/>
  </w:style>
  <w:style w:type="character" w:customStyle="1" w:styleId="cat-OrganizationNamegrp-35rplc-22">
    <w:name w:val="cat-OrganizationName grp-35 rplc-22"/>
    <w:basedOn w:val="DefaultParagraphFont"/>
  </w:style>
  <w:style w:type="character" w:customStyle="1" w:styleId="cat-OrganizationNamegrp-35rplc-24">
    <w:name w:val="cat-OrganizationName grp-35 rplc-24"/>
    <w:basedOn w:val="DefaultParagraphFont"/>
  </w:style>
  <w:style w:type="character" w:customStyle="1" w:styleId="cat-Dategrp-16rplc-25">
    <w:name w:val="cat-Date grp-16 rplc-25"/>
    <w:basedOn w:val="DefaultParagraphFont"/>
  </w:style>
  <w:style w:type="character" w:customStyle="1" w:styleId="cat-Dategrp-17rplc-26">
    <w:name w:val="cat-Date grp-17 rplc-26"/>
    <w:basedOn w:val="DefaultParagraphFont"/>
  </w:style>
  <w:style w:type="character" w:customStyle="1" w:styleId="cat-Dategrp-18rplc-27">
    <w:name w:val="cat-Date grp-18 rplc-27"/>
    <w:basedOn w:val="DefaultParagraphFont"/>
  </w:style>
  <w:style w:type="character" w:customStyle="1" w:styleId="cat-OrganizationNamegrp-35rplc-28">
    <w:name w:val="cat-OrganizationName grp-35 rplc-28"/>
    <w:basedOn w:val="DefaultParagraphFont"/>
  </w:style>
  <w:style w:type="character" w:customStyle="1" w:styleId="cat-Addressgrp-9rplc-31">
    <w:name w:val="cat-Address grp-9 rplc-31"/>
    <w:basedOn w:val="DefaultParagraphFont"/>
  </w:style>
  <w:style w:type="character" w:customStyle="1" w:styleId="cat-Timegrp-36rplc-33">
    <w:name w:val="cat-Time grp-36 rplc-33"/>
    <w:basedOn w:val="DefaultParagraphFont"/>
  </w:style>
  <w:style w:type="character" w:customStyle="1" w:styleId="cat-Dategrp-15rplc-34">
    <w:name w:val="cat-Date grp-15 rplc-34"/>
    <w:basedOn w:val="DefaultParagraphFont"/>
  </w:style>
  <w:style w:type="character" w:customStyle="1" w:styleId="cat-UserDefinedgrp-43rplc-35">
    <w:name w:val="cat-UserDefined grp-43 rplc-35"/>
    <w:basedOn w:val="DefaultParagraphFont"/>
  </w:style>
  <w:style w:type="character" w:customStyle="1" w:styleId="cat-UserDefinedgrp-44rplc-37">
    <w:name w:val="cat-UserDefined grp-44 rplc-37"/>
    <w:basedOn w:val="DefaultParagraphFont"/>
  </w:style>
  <w:style w:type="character" w:customStyle="1" w:styleId="cat-Dategrp-16rplc-39">
    <w:name w:val="cat-Date grp-16 rplc-39"/>
    <w:basedOn w:val="DefaultParagraphFont"/>
  </w:style>
  <w:style w:type="character" w:customStyle="1" w:styleId="cat-UserDefinedgrp-45rplc-40">
    <w:name w:val="cat-UserDefined grp-45 rplc-40"/>
    <w:basedOn w:val="DefaultParagraphFont"/>
  </w:style>
  <w:style w:type="character" w:customStyle="1" w:styleId="cat-UserDefinedgrp-46rplc-42">
    <w:name w:val="cat-UserDefined grp-46 rplc-42"/>
    <w:basedOn w:val="DefaultParagraphFont"/>
  </w:style>
  <w:style w:type="character" w:customStyle="1" w:styleId="cat-Dategrp-19rplc-44">
    <w:name w:val="cat-Date grp-19 rplc-44"/>
    <w:basedOn w:val="DefaultParagraphFont"/>
  </w:style>
  <w:style w:type="character" w:customStyle="1" w:styleId="cat-Addressgrp-10rplc-47">
    <w:name w:val="cat-Address grp-10 rplc-47"/>
    <w:basedOn w:val="DefaultParagraphFont"/>
  </w:style>
  <w:style w:type="character" w:customStyle="1" w:styleId="cat-Addressgrp-9rplc-48">
    <w:name w:val="cat-Address grp-9 rplc-48"/>
    <w:basedOn w:val="DefaultParagraphFont"/>
  </w:style>
  <w:style w:type="character" w:customStyle="1" w:styleId="cat-FIOgrp-27rplc-49">
    <w:name w:val="cat-FIO grp-27 rplc-49"/>
    <w:basedOn w:val="DefaultParagraphFont"/>
  </w:style>
  <w:style w:type="character" w:customStyle="1" w:styleId="cat-CarMakeModelgrp-38rplc-50">
    <w:name w:val="cat-CarMakeModel grp-38 rplc-50"/>
    <w:basedOn w:val="DefaultParagraphFont"/>
  </w:style>
  <w:style w:type="character" w:customStyle="1" w:styleId="cat-FIOgrp-27rplc-52">
    <w:name w:val="cat-FIO grp-27 rplc-52"/>
    <w:basedOn w:val="DefaultParagraphFont"/>
  </w:style>
  <w:style w:type="character" w:customStyle="1" w:styleId="cat-Timegrp-37rplc-53">
    <w:name w:val="cat-Time grp-37 rplc-53"/>
    <w:basedOn w:val="DefaultParagraphFont"/>
  </w:style>
  <w:style w:type="character" w:customStyle="1" w:styleId="cat-Dategrp-15rplc-54">
    <w:name w:val="cat-Date grp-15 rplc-54"/>
    <w:basedOn w:val="DefaultParagraphFont"/>
  </w:style>
  <w:style w:type="character" w:customStyle="1" w:styleId="cat-Addressgrp-11rplc-55">
    <w:name w:val="cat-Address grp-11 rplc-55"/>
    <w:basedOn w:val="DefaultParagraphFont"/>
  </w:style>
  <w:style w:type="character" w:customStyle="1" w:styleId="cat-Addressgrp-9rplc-56">
    <w:name w:val="cat-Address grp-9 rplc-56"/>
    <w:basedOn w:val="DefaultParagraphFont"/>
  </w:style>
  <w:style w:type="character" w:customStyle="1" w:styleId="cat-OrganizationNamegrp-35rplc-57">
    <w:name w:val="cat-OrganizationName grp-35 rplc-57"/>
    <w:basedOn w:val="DefaultParagraphFont"/>
  </w:style>
  <w:style w:type="character" w:customStyle="1" w:styleId="cat-OrganizationNamegrp-35rplc-59">
    <w:name w:val="cat-OrganizationName grp-35 rplc-59"/>
    <w:basedOn w:val="DefaultParagraphFont"/>
  </w:style>
  <w:style w:type="character" w:customStyle="1" w:styleId="cat-Addressgrp-0rplc-61">
    <w:name w:val="cat-Address grp-0 rplc-61"/>
    <w:basedOn w:val="DefaultParagraphFont"/>
  </w:style>
  <w:style w:type="character" w:customStyle="1" w:styleId="cat-CarMakeModelgrp-38rplc-76">
    <w:name w:val="cat-CarMakeModel grp-38 rplc-76"/>
    <w:basedOn w:val="DefaultParagraphFont"/>
  </w:style>
  <w:style w:type="character" w:customStyle="1" w:styleId="cat-Addressgrp-12rplc-77">
    <w:name w:val="cat-Address grp-12 rplc-77"/>
    <w:basedOn w:val="DefaultParagraphFont"/>
  </w:style>
  <w:style w:type="character" w:customStyle="1" w:styleId="cat-Addressgrp-12rplc-78">
    <w:name w:val="cat-Address grp-12 rplc-78"/>
    <w:basedOn w:val="DefaultParagraphFont"/>
  </w:style>
  <w:style w:type="character" w:customStyle="1" w:styleId="cat-Dategrp-16rplc-79">
    <w:name w:val="cat-Date grp-16 rplc-79"/>
    <w:basedOn w:val="DefaultParagraphFont"/>
  </w:style>
  <w:style w:type="character" w:customStyle="1" w:styleId="cat-Addressgrp-0rplc-80">
    <w:name w:val="cat-Address grp-0 rplc-80"/>
    <w:basedOn w:val="DefaultParagraphFont"/>
  </w:style>
  <w:style w:type="character" w:customStyle="1" w:styleId="cat-Addressgrp-0rplc-81">
    <w:name w:val="cat-Address grp-0 rplc-81"/>
    <w:basedOn w:val="DefaultParagraphFont"/>
  </w:style>
  <w:style w:type="character" w:customStyle="1" w:styleId="cat-Addressgrp-0rplc-82">
    <w:name w:val="cat-Address grp-0 rplc-82"/>
    <w:basedOn w:val="DefaultParagraphFont"/>
  </w:style>
  <w:style w:type="character" w:customStyle="1" w:styleId="cat-Addressgrp-1rplc-83">
    <w:name w:val="cat-Address grp-1 rplc-83"/>
    <w:basedOn w:val="DefaultParagraphFont"/>
  </w:style>
  <w:style w:type="character" w:customStyle="1" w:styleId="cat-Addressgrp-0rplc-84">
    <w:name w:val="cat-Address grp-0 rplc-8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upk-rf/chast-3/razdel-x/glava-40/statia-316/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pk-rf/chast-3/razdel-x/glava-40/statia-314/" TargetMode="External" /><Relationship Id="rId5" Type="http://schemas.openxmlformats.org/officeDocument/2006/relationships/hyperlink" Target="https://sudact.ru/law/upk-rf/chast-3/razdel-x/glava-40/statia-315/" TargetMode="External" /><Relationship Id="rId6" Type="http://schemas.openxmlformats.org/officeDocument/2006/relationships/hyperlink" Target="https://sudact.ru/law/uk-rf/obshchaia-chast/razdel-iii/glava-10/statia-73/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https://sudact.ru/law/upk-rf/chast-3/razdel-ix/glava-39/statia-296/" TargetMode="External" /><Relationship Id="rId9" Type="http://schemas.openxmlformats.org/officeDocument/2006/relationships/hyperlink" Target="https://sudact.ru/law/upk-rf/chast-3/razdel-ix/glava-39/statia-299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