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№29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</w:t>
      </w:r>
      <w:r>
        <w:rPr>
          <w:rFonts w:ascii="Times New Roman" w:eastAsia="Times New Roman" w:hAnsi="Times New Roman" w:cs="Times New Roman"/>
          <w:sz w:val="28"/>
          <w:szCs w:val="28"/>
        </w:rPr>
        <w:t>кашин А.Ю.,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Деревягина Д.А., </w:t>
      </w:r>
      <w:r>
        <w:rPr>
          <w:rFonts w:ascii="Times New Roman" w:eastAsia="Times New Roman" w:hAnsi="Times New Roman" w:cs="Times New Roman"/>
          <w:sz w:val="28"/>
          <w:szCs w:val="28"/>
        </w:rPr>
        <w:t>Бащука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Комолова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Комолова Бориса Владимировича,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в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Timegrp-2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9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точное время следствием не установлено, Комолов Б.В. прибыл на территорию домовладения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он ранее проживал совместно со своим двоюродным 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 увидел на территории указанного домовладения принадлежащие ему личные вещи, находящиеся вне жилого дома, в связи с чем на почве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запно возникших личных неприязненных отношений с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Комолова Б.В. возник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ступный умысел, направленный на причинение легкого вреда здоровья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преступного умысла, находясь в вышеуказанное время в вышеуказанном месте, Комолов Б.В. достал имеющийся при себе нож, постучал в дверь указанного жилого дома и попросил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выйти из него, после чего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открыл входную дверь, вышел из жилого дома и протянул для приветствия свою правую руку Комолову Б.В. Комолов Б.В., действуя умы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ленно, осознавая общественную опасность своих действий, предвидя неизбе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наступления общественно опасных последствий в виде причинения легкого вреда здоровью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желая их наступления, из личных неприязненных отношений с целью причинения легкого вреда здоровью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схватил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вую руку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используя в качестве оружия нож, осознавая, что вследствие удара ножом в область правой кисти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причинит легкий вред здоровью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желая этого, нанес один удар указанным ножом в область правой кисти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противоправными действиями Комолов Б.В.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нил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заключению эксперта № 78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телесные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вреждения в виде резаной раны правой кисти, которая получена в результате 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нократного травматического воздействия острым предметом, не исключено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жом, и согласно пункту 8.1 Приказа М3 и СР РФ № 194н от </w:t>
      </w:r>
      <w:r>
        <w:rPr>
          <w:rStyle w:val="cat-Dategrp-1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ненного здоровью человека» как вызвавшее кратковременное расстройство 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ровья на срок до 21 дня, относится к причинившим легкий вред здоровью.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Комолова Б.В. находятся в прямой причинно-следственной связи с наступи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шим последствиями в виде причинения вреда здоровью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Комолов Б.В. совершил преступление, предусмотренное п. «в» ч. 2 ст. 115 УК РФ, - умышленное причинение легкого вреда здоровью,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звавшего кратковременное расстройство здоровья, совершенное с применением предмета, используемого в качестве 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Комолов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 признал полн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подсудимый заявил о полном согласии с предъявленным ему обвинен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ем, и в соответствии со ст. 315 УПК РФ ходатайствовал о постановлении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без проведения судебного разбирательства. При этом подсудимый мировому судье пояснил, что ходатайство им заявлено добровольно после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сультации с защитником, он осознает характер и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 имеется заявление потерпевшего, в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ром он не возражал против рассмотрения уголовного дела в особом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и защитник подсудимого согласны с рассмо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рением уголовного дела в особом порядке, то есть с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мировым судьей разъяснено ограничение при назначении наказания,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7 ст. 316 УПК РФ и пределы обжалования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314 УПК РФ, обвиняемый вправе при наличии согласия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или частного обвинителя и потерпевшего заявить о согласии с предъявленным ему обвинением и ходатайствовать о постановлении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без проведения судебного разбирательства по уголовным делам 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 небольшой или средней тяжести.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преступление, в совершении которого обвин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Комолов Б.В.</w:t>
      </w:r>
      <w:r>
        <w:rPr>
          <w:rFonts w:ascii="Times New Roman" w:eastAsia="Times New Roman" w:hAnsi="Times New Roman" w:cs="Times New Roman"/>
          <w:sz w:val="28"/>
          <w:szCs w:val="28"/>
        </w:rPr>
        <w:t>, относится к категории небольшой тяжести, учитывая согласие подсудимого с предъявленным ему обвинением, заявленное в присутствии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щитника ходатайство о постановлении приговора без проведения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ства, которое поддержал государственный обвинитель и потерпевший, суд прих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 к выводу о том, что имеются все условия для применения особого порядка принятия судебного решения и постановления обвинительного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ренные главой 40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обвинение, с которым согласился подсуд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мый, обоснованно и подтверждается доказательствами, собранными по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мировой судья квалифицирует действия Комолова Б.В. по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РФ, как умышленное причинение легкого вреда здоровью, вызвавшего кратковременное расстройство здоровья, с примен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предмета, используемого в качестве 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преступления, личность подсудимого, который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судим, характериз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ется посредственно по месту жительства, признание им вины, раскаяние в сод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янном, а также то, что на учете у врача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врача 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наказание, в соответствии с п. «и» ч. 1 ст. 61 УК РФ, являются явка с повинной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 соответствии с ч. 2 ст. 61 УК РФ – полное признание своей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обвиняемому </w:t>
      </w:r>
      <w:r>
        <w:rPr>
          <w:rFonts w:ascii="Times New Roman" w:eastAsia="Times New Roman" w:hAnsi="Times New Roman" w:cs="Times New Roman"/>
          <w:sz w:val="28"/>
          <w:szCs w:val="28"/>
        </w:rPr>
        <w:t>Комолову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установлено.</w:t>
      </w:r>
    </w:p>
    <w:p>
      <w:pPr>
        <w:spacing w:before="0" w:after="0"/>
        <w:ind w:firstLine="4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мировой судья не признает исключительными и 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ющими основание для применения правил, закрепленных в ст. 64 УК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при назначении наказания подсудимому.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совершённое </w:t>
      </w:r>
      <w:r>
        <w:rPr>
          <w:rFonts w:ascii="Times New Roman" w:eastAsia="Times New Roman" w:hAnsi="Times New Roman" w:cs="Times New Roman"/>
          <w:sz w:val="28"/>
          <w:szCs w:val="28"/>
        </w:rPr>
        <w:t>Комоловым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гории преступлений небольшой тяжести, то оснований для применения ч.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 УК РФ не имеется.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указанных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обстоятельств, а также с учетом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Комолов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доустроен,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лову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данный вид наказания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размерен содеянному и отвечает целям ч. 2 ст. 43 УК Российской Федерации, а именно служит целям исправления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 предупреждения совершения им новых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размера наказания суд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ст. 62 УК РФ, поскольку уголовное дело рассмотрено в порядке,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редусмотренном главой 40 УПК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Комолову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принуждения - обязательство о явке, которая подлежит отмене по вступлению приговора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доказательств, мировой судья определяет с учетом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Миронов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 участие в уголовном судопрои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водстве по назначению, в соответствии со ст. ст. 131, 132 УПК РФ процессуал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издержки подлежат возмещению за счет средств федерального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ст.ст.296-299, 316 УПК РФ,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Комолова Бориса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иновным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 обязательных работ, в местах определяемых органом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по согласованию с уголовно-исполнительной инспекцией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Комолову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3 ст. 49 УК РФ, согласно которым в случае злостного уклонения осужденного от отбывания обязательных работ они замен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ются принудительными работами или лишением свободы. При этом время, в течение которого осужденный отбывал обязательные работы, учитывается при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срока принудительных работ или лишения свободы из расчёта один день принудительных работ или один день лишения свободы за восемь часов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зательных работ.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приговора возложить на филиал по </w:t>
      </w:r>
      <w:r>
        <w:rPr>
          <w:rStyle w:val="cat-Addressgrp-2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УИИ УФСИН по </w:t>
      </w:r>
      <w:r>
        <w:rPr>
          <w:rStyle w:val="cat-Addressgrp-0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5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су: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Комолова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встать на учет в уголовно-исполнительную инспе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цию.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Комолова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хозяйственный кухонный нож с рукояткой черного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хранящийся в камере хранения вещественных доказательств 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ственного отдела по </w:t>
      </w:r>
      <w:r>
        <w:rPr>
          <w:rStyle w:val="cat-Addressgrp-2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следственного управления Следственного комитета Российской Федерации по </w:t>
      </w:r>
      <w:r>
        <w:rPr>
          <w:rStyle w:val="cat-Addressgrp-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бюджета.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районный суд </w:t>
      </w:r>
      <w:r>
        <w:rPr>
          <w:rStyle w:val="cat-Addressgrp-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провозглаш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с соблюдением требований ст. 317 УПК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spacing w:before="0" w:after="0"/>
        <w:ind w:firstLine="740"/>
        <w:jc w:val="both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Timegrp-29rplc-16">
    <w:name w:val="cat-Time grp-29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0rplc-59">
    <w:name w:val="cat-Address grp-0 rplc-59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0rplc-63">
    <w:name w:val="cat-Address grp-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