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1-55-9/2022</w:t>
      </w:r>
    </w:p>
    <w:p>
      <w:pPr>
        <w:spacing w:before="0" w:after="16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0055-01-2022-001561-96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16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– Тимаковой Е.А.,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Киршиной И.Е.,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340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ч.1 ст. 119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 совершил угрозу убийством, если имелись основания опасаться осуществления этой угрозы, 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мая 2022 года примерно в 10 часов 00 минут, более точное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Владимирович, 08.03.1989 г.р., пребывая в состоянии алкогольного опьянения, находясь в доме № 44 по ул. Дзержинского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на почве внезапно возникших личных неприязненных отношений к своей бывшей супруге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 17.01.1996 г.р., с целью вызвать чувства страха и опасения за свою жизнь у последней, осознавая общественную опасность своих действий, посягающие на общественный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наступления, находясь в непосредственной близости с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К.А., демонстрируя кухонный нож-пилку, используя его как способ психического воздействия и средство давления на волю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выпады с ножом в сторону последней, словесно высказывал в ее адрес угрозу убийством, а именно: «Убью»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продолжая свой преступный умысел, находясь в непосредственной близости с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К.А., демонстрируя фрагмент стекла битой кружки, используя его как способ психического воздействия и средство давления на волю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К.А., осуществлял выпады с фрагментом стекла битой кружки в сторону последней, словесно высказывал в ее адрес угрозу убийством,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«Убью».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агрессивное, несоответствующее обстановке,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сопровождающееся демонстрацией ножа-пилки и фрагмента стекла битой кружки, способными причинить существенный вред здоровью, угрозу убийством в свой адрес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 воспринимала как реальную, так как испытывали чувство страха, опасаясь ее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>как угроза убийством, если имелись основания опасаться осуществления этой угрозы.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суда, от потерпевшей –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>УК РФ, в связи с примирением с подсудимым, ссылаясь на те обстоятельства, что причиненный им вред заглажен в полном объеме, 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его извинения ею приняты.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и моральных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 не имеет.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что он полностью согласен с предъявленным обвинением,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раскаялся, с потерпевшей примирился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принес ей свои извинения, </w:t>
      </w:r>
      <w:r>
        <w:rPr>
          <w:rFonts w:ascii="Times New Roman" w:eastAsia="Times New Roman" w:hAnsi="Times New Roman" w:cs="Times New Roman"/>
          <w:sz w:val="28"/>
          <w:szCs w:val="28"/>
        </w:rPr>
        <w:t>цивилизованно общаются,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договорились о порядке воспитания ребенка, выводы для себя сделал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последствия прекращения дела по не реабилитирующим основаниям ему понятны.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просил учесть, что его подзащитный вину признал, раскаялся в содеянном, имеет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иждивении малолетнего ребенка и ранее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Киршина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пояснила,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смотря на то, что по данному делу имеются все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ст. 76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прекращения производства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по примирению сторон, отметила,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рассмотрения другого уголовного дела в районном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инкриминируемое ему преступление,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аналогичной категории и в отношении одной и той же потерпевшей,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просила отказать в удовлетворении ходатайства.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потерпевшей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принес извинения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К.А., которая приняла его извинения,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атериальных и моральных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врача-нарколога не состоит,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>по предыдущему месту работы характеризуется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на сегодня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ний день конфликт исчерпан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вилиз</w:t>
      </w:r>
      <w:r>
        <w:rPr>
          <w:rFonts w:ascii="Times New Roman" w:eastAsia="Times New Roman" w:hAnsi="Times New Roman" w:cs="Times New Roman"/>
          <w:sz w:val="28"/>
          <w:szCs w:val="28"/>
        </w:rPr>
        <w:t>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общаются, мирным путем договорились о порядке воспит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Владимировича, </w:t>
      </w:r>
      <w:r>
        <w:rPr>
          <w:rStyle w:val="cat-UserDefinedgrp-30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потерпевшей,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08.03.1989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Камбура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полотенце бирюзового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>со следами вещества бурого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находящееся в черном полимерном пакете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фрагменты стекла битой кружки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находящиеся в черном полимерном пакете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в черном полимерном пакете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нож-пилка,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в белом полимерном пакете, хранящ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 в камере хранения (специальное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хранилище)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 по уголовным делам ОМВД России по Красногвардейскому району (квитанция № 86 от 07.05.2022)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48">
    <w:name w:val="cat-UserDefined grp-3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