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7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Шостака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Тимакова О.С.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потерпевшего – Сахнова С.М.,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Чекан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Style w:val="cat-UserDefinedgrp-3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преступления,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1"/>
        <w:jc w:val="both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своими умышленными действиями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похищение у гражданина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>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03.03.2020 примерно в 12.00 часов, более точное время не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Чекан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24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умысел на тайное хищение у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паспорта, осознавая общественную опасность своих действий, предвидя возможность наступления общественно опасных последствий и желая их наступления, действуя из иной личной заинтересованности,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 22 Постановления Правительства РФ от 08.07.1997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828 (ред. от 20.11.2018) «Об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паспорте гражданина Российской Федерации, образца бланка и описания паспорта гражданина Российской Федерации», согласно которого запрещается изъятие у гражданина паспорта, кроме случаев, предусмотренных законодательством Российской Федерации, находясь в домовладении, расположенном по </w:t>
      </w:r>
      <w:r>
        <w:rPr>
          <w:rStyle w:val="cat-UserDefinedgrp-3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 проживает Сахнов С.М., путем свободного доступа,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тайное похищение паспорта гражданина Российской Федерации, выданного на имя Сахнова </w:t>
      </w:r>
      <w:r>
        <w:rPr>
          <w:rStyle w:val="cat-UserDefinedgrp-37rplc-31"/>
          <w:rFonts w:ascii="Times New Roman" w:eastAsia="Times New Roman" w:hAnsi="Times New Roman" w:cs="Times New Roman"/>
          <w:sz w:val="28"/>
          <w:szCs w:val="28"/>
        </w:rPr>
        <w:t>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для своих личных целей.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похищение у гражданина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уголовного дела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свою вину в совершении преступления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обвинитель, адвокат не возражали против удовлетворения заявленного ходатайства.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Сахнов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против проведения судебного разбирательства в особом порядке возражений не заявил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постановить приговор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своем полном согласии с предъявленным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винением. Ходатайство заявлено 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защитника, после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–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похищение у гражданина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наказания подсудимому суд учитывает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которое относится к категории преступлений не 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также учитывает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>, влияние назначенного наказания на исправление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характеризуются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равно как и обстоятельств, которые могут повлечь за собой освобождение от уголовной ответственности или от наказания, судом так же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ч.ч</w:t>
      </w:r>
      <w:r>
        <w:rPr>
          <w:rFonts w:ascii="Times New Roman" w:eastAsia="Times New Roman" w:hAnsi="Times New Roman" w:cs="Times New Roman"/>
          <w:sz w:val="28"/>
          <w:szCs w:val="28"/>
        </w:rPr>
        <w:t>. 1, 2 ст. 61 УК РФ,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явку с повинной, активное способствование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чистосердечное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 подсудимой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 учетом данных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Чекан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санкцией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наказания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требования ст. 60 УК РФ,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которое относятся к категории преступлений небольшой тяжести.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будут достигнуты предусмотренные ст.43 УК Российской Федерации цели наказания, состоящие в исправлении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предупреждении совершения новых преступлений.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подсудимого не подлежат.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307-309, 314-317 УПК Российской Федерации,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Чекан </w:t>
      </w:r>
      <w:r>
        <w:rPr>
          <w:rStyle w:val="cat-UserDefinedgrp-39rplc-52"/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100 часов обязательных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Чекан </w:t>
      </w:r>
      <w:r>
        <w:rPr>
          <w:rStyle w:val="cat-UserDefinedgrp-32rplc-54"/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Style w:val="cat-UserDefinedgrp-40rplc-55"/>
          <w:rFonts w:ascii="Times New Roman" w:eastAsia="Times New Roman" w:hAnsi="Times New Roman" w:cs="Times New Roman"/>
          <w:sz w:val="28"/>
          <w:szCs w:val="28"/>
        </w:rPr>
        <w:t>ФКУ УФСИН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 w:cs="Times New Roman"/>
          <w:sz w:val="28"/>
          <w:szCs w:val="28"/>
        </w:rPr>
        <w:t>процессуального принуждения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обязательстве о явке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вступления приговора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без изменения.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39rplc-52">
    <w:name w:val="cat-UserDefined grp-39 rplc-52"/>
    <w:basedOn w:val="DefaultParagraphFont"/>
  </w:style>
  <w:style w:type="character" w:customStyle="1" w:styleId="cat-UserDefinedgrp-32rplc-54">
    <w:name w:val="cat-UserDefined grp-32 rplc-54"/>
    <w:basedOn w:val="DefaultParagraphFont"/>
  </w:style>
  <w:style w:type="character" w:customStyle="1" w:styleId="cat-UserDefinedgrp-40rplc-55">
    <w:name w:val="cat-UserDefined grp-4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