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7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декабря 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</w:t>
      </w:r>
      <w:r>
        <w:rPr>
          <w:rFonts w:ascii="Times New Roman" w:eastAsia="Times New Roman" w:hAnsi="Times New Roman" w:cs="Times New Roman"/>
          <w:sz w:val="28"/>
          <w:szCs w:val="28"/>
        </w:rPr>
        <w:t>Гафарова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139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том, что он совершил незаконное проникновение в жилище против воли проживающего в нем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07августа 2019 года в период времени с 07 часов 00 минут до 11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достоверно зная, что в доме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проживает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без цели хищения, против воли проживающего в нем лица, осознавая противоправный характер своих действий, незаконно, путем повреждения окна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выставления рамы, действуя умышленно, проник в домовладение №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вышеуказанному адресу, нарушив тем самым конституционное право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неприкосновенность жилища, предусмотренное ст. 25 Конституции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адвокат не возражали против удовлетворения заявленного ходатайства.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также не возражал против рассмотрения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 ссылается на то, что подсудимый принес свои извинения, претензий к нему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139 УК РФ – незаконное проникновение в жилище против воли проживающего в нем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>. 1, 2 ст. 61 УК РФ, суд признает чистосердечное раскаяние в содеянном,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63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не погашенн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снят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 судимост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приговору Красногвардейского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26.04.2016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исправительных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ч.1 ст. 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подсудимому суд учитывает требования ст. 60 УК РФ, характер и степень 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опасности совершенного им преступления, которое относятся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307-309, 314-317 УПК Российской Федерации,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ему наказание в виде 6 (шести) месяцев исправительных работ с удержанием в доход государства в размере десяти процентов.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Мамедшаева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6"/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филиал по Красногвардейскому району ФКУ УИИ УФСИН РФ по Республике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4rplc-45">
    <w:name w:val="cat-UserDefined grp-24 rplc-45"/>
    <w:basedOn w:val="DefaultParagraphFont"/>
  </w:style>
  <w:style w:type="character" w:customStyle="1" w:styleId="cat-UserDefinedgrp-24rplc-46">
    <w:name w:val="cat-UserDefined grp-2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