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5635">
      <w:pPr>
        <w:jc w:val="right"/>
      </w:pPr>
      <w:r>
        <w:t>Дело № 1-90-87/2017</w:t>
      </w:r>
    </w:p>
    <w:p w:rsidR="00A77B3E" w:rsidP="00755635">
      <w:pPr>
        <w:jc w:val="center"/>
      </w:pPr>
      <w:r>
        <w:t>ПОСТАНОВЛЕНИЕ</w:t>
      </w:r>
    </w:p>
    <w:p w:rsidR="00A77B3E">
      <w:r>
        <w:t>15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Никифоровой М.Л., представившей ордер № ... от дата и удостоверение адвоката № ... от дата, </w:t>
      </w:r>
    </w:p>
    <w:p w:rsidR="00A77B3E">
      <w:r>
        <w:t>подсудимого: Артюх Е.В.,</w:t>
      </w:r>
    </w:p>
    <w:p w:rsidR="00A77B3E">
      <w:r>
        <w:t>рассмотрев в открытом судебном заседа</w:t>
      </w:r>
      <w:r>
        <w:t>нии уголовное дело по обвинению:</w:t>
      </w:r>
    </w:p>
    <w:p w:rsidR="00A77B3E">
      <w:r>
        <w:t xml:space="preserve">АРТЮХ Е.В., паспортные данные, не состоящей в браке, имеющей на иждивении несовершеннолетнего ребенка, паспортные данные, со средне-специальным образованием, работающей </w:t>
      </w:r>
      <w:r w:rsidR="00755635">
        <w:t>должность</w:t>
      </w:r>
      <w:r>
        <w:t xml:space="preserve"> </w:t>
      </w:r>
      <w:r w:rsidR="00755635">
        <w:t>место работы</w:t>
      </w:r>
      <w:r>
        <w:t>, невоенн</w:t>
      </w:r>
      <w:r>
        <w:t xml:space="preserve">ообязанной, зарегистрированной и проживающей по адресу: адрес, ранее не судимой,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Артюх Е.В. совершила фиктивную постановку на учет иностранного гражданина по м</w:t>
      </w:r>
      <w:r>
        <w:t>есту пребывания в жилом помещении в Российской Федерации, при следующих обстоятельствах.</w:t>
      </w:r>
    </w:p>
    <w:p w:rsidR="00A77B3E">
      <w:r>
        <w:t>Подсудимая Артюх Е.В., находящаяся в гражданстве Российской Федерации, и зарегистрированная по адресу: адрес, имея единый умысел, направленный на нарушение правил мигр</w:t>
      </w:r>
      <w:r>
        <w:t>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</w:t>
      </w:r>
      <w:r>
        <w:t xml:space="preserve">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</w:t>
      </w:r>
      <w:r>
        <w:t>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находясь в отделе УПВМ России по Ре</w:t>
      </w:r>
      <w:r>
        <w:t xml:space="preserve">спублике Крым и г. Севастополю в городе Феодосии по адресу: адрес, имея единый умысел на фиктивную постановку на миграционный учет иностранных граждан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Российской Федерации в жилом помещении, без намерения фактического п</w:t>
      </w:r>
      <w:r>
        <w:t xml:space="preserve">редоставления указанным иностранным гражданам жилого помещения – места своей регистрации, расположенного по адресу: адрес, оформила постановку на миграционный учет для граждан Украины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</w:t>
      </w:r>
      <w:r>
        <w:t xml:space="preserve">, а именно: дата в послеобеденное время, точное время в ходе дознания установить не представилось возможным, оформила постановку на </w:t>
      </w:r>
      <w:r>
        <w:t xml:space="preserve">миграционный учет для гражданина Украины </w:t>
      </w:r>
      <w:r>
        <w:t>фио</w:t>
      </w:r>
      <w:r>
        <w:t xml:space="preserve">, паспортные данные, на срок до дата, дата в послеобеденное время, точное время </w:t>
      </w:r>
      <w:r>
        <w:t xml:space="preserve">в ходе дознания установить не представилось возможным, оформила постановку на миграционный учет для гражданки Украины </w:t>
      </w:r>
      <w:r>
        <w:t>фио</w:t>
      </w:r>
      <w:r>
        <w:t xml:space="preserve">, паспортные данные, на срок до дата, дата в послеобеденное время, точное время в ходе дознания установить не представилось возможным, </w:t>
      </w:r>
      <w:r>
        <w:t xml:space="preserve">оформила постановку на миграционный учет для гражданина Украины </w:t>
      </w:r>
      <w:r>
        <w:t>фио</w:t>
      </w:r>
      <w:r>
        <w:t xml:space="preserve">, паспортные данные, на срок до дата.  Тем самым, Артюх Е.В. осуществила фиктивную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Российской </w:t>
      </w:r>
      <w:r>
        <w:t>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УПВМ России по Республике Крым и г. Севаст</w:t>
      </w:r>
      <w:r>
        <w:t xml:space="preserve">ополю в городе Феодосии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передвижения на территории Российской Федерации. </w:t>
      </w:r>
    </w:p>
    <w:p w:rsidR="00A77B3E">
      <w:r>
        <w:t>Действия Артюх Е.В. правильно квалифицированы по ст. 322.3 УК РФ, как</w:t>
      </w:r>
      <w:r>
        <w:t xml:space="preserve">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</w:t>
      </w:r>
      <w:r>
        <w:t>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Артюх Е.В.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</w:t>
      </w:r>
      <w:r>
        <w:t xml:space="preserve">ль не возражал против освобождения Артюх Е.В.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</w:t>
      </w:r>
      <w:r>
        <w:t>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</w:t>
      </w:r>
      <w:r>
        <w:t xml:space="preserve"> если в его действиях не содержится иного состава преступления.</w:t>
      </w:r>
    </w:p>
    <w:p w:rsidR="00A77B3E">
      <w:r>
        <w:t xml:space="preserve">Судом установлено, что Артюх Е.В. ранее не судима, на учете у нарколога и психиатра не состоит, по месту жительства и работы характеризируется положительно, совершенное преступление относится </w:t>
      </w:r>
      <w:r>
        <w:t xml:space="preserve">к преступлениям небольшой тяжести. </w:t>
      </w:r>
    </w:p>
    <w:p w:rsidR="00A77B3E">
      <w:r>
        <w:t>В отношении подсудимой Артюх Е.В.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иждивении н</w:t>
      </w:r>
      <w:r>
        <w:t>есовершеннолетнего ребенка, паспортные данные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</w:t>
      </w:r>
      <w:r>
        <w:t xml:space="preserve">дения подсудимой от уголовной ответственности по ст. 322.3 УК РФ и прекращении в </w:t>
      </w:r>
      <w:r>
        <w:t xml:space="preserve">отношении нее уголовного дела в связи с тем, что она способствовал раскрытию этого преступления и в ее действиях не содержится иного состава преступления. </w:t>
      </w:r>
    </w:p>
    <w:p w:rsidR="00A77B3E">
      <w:r>
        <w:t>На основании ст.322</w:t>
      </w:r>
      <w:r>
        <w:t>.3 УК РФ, суд –</w:t>
      </w:r>
    </w:p>
    <w:p w:rsidR="00A77B3E"/>
    <w:p w:rsidR="00A77B3E">
      <w:r>
        <w:t>ПОСТАНОВИЛ:</w:t>
      </w:r>
    </w:p>
    <w:p w:rsidR="00A77B3E"/>
    <w:p w:rsidR="00A77B3E">
      <w:r>
        <w:t>АРТЮХ Е.В. освободить 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</w:t>
      </w:r>
      <w:r>
        <w:t>поведении в отношении Артюх Е.В.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</w:t>
      </w:r>
      <w:r>
        <w:t xml:space="preserve">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</w:t>
      </w:r>
      <w:r>
        <w:t>ья:                       (подпись)                                                  Г.А. Ярошенко</w:t>
      </w:r>
    </w:p>
    <w:p w:rsidR="00A77B3E"/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55635" w:rsidP="00755635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35"/>
    <w:rsid w:val="00755635"/>
    <w:rsid w:val="00A77B3E"/>
    <w:rsid w:val="00E92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925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9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