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581744">
      <w:pPr>
        <w:jc w:val="right"/>
      </w:pPr>
      <w:r>
        <w:t xml:space="preserve">          Дело № 1-92-36/2021</w:t>
      </w:r>
    </w:p>
    <w:p w:rsidR="00A77B3E" w:rsidP="00581744">
      <w:pPr>
        <w:jc w:val="right"/>
      </w:pPr>
      <w:r>
        <w:t xml:space="preserve">                                                                            УИД: 91RS0023-НОМЕР-001597-26</w:t>
      </w:r>
    </w:p>
    <w:p w:rsidR="00A77B3E" w:rsidP="00581744">
      <w:pPr>
        <w:jc w:val="both"/>
      </w:pPr>
    </w:p>
    <w:p w:rsidR="00A77B3E" w:rsidP="00581744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581744">
      <w:pPr>
        <w:jc w:val="both"/>
      </w:pPr>
    </w:p>
    <w:p w:rsidR="00A77B3E" w:rsidP="00581744">
      <w:pPr>
        <w:jc w:val="both"/>
      </w:pPr>
      <w:r>
        <w:t xml:space="preserve">23 ноября 2021 года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581744">
      <w:pPr>
        <w:jc w:val="both"/>
      </w:pPr>
      <w:r>
        <w:t xml:space="preserve"> </w:t>
      </w:r>
    </w:p>
    <w:p w:rsidR="00A77B3E" w:rsidP="00581744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581744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 </w:t>
      </w:r>
      <w:r>
        <w:tab/>
        <w:t>- Пономаревой А.Б.</w:t>
      </w:r>
    </w:p>
    <w:p w:rsidR="00A77B3E" w:rsidP="00581744">
      <w:pPr>
        <w:ind w:firstLine="720"/>
        <w:jc w:val="both"/>
      </w:pPr>
      <w:r>
        <w:t>с участием:</w:t>
      </w:r>
    </w:p>
    <w:p w:rsidR="00A77B3E" w:rsidP="00581744">
      <w:pPr>
        <w:ind w:firstLine="720"/>
        <w:jc w:val="both"/>
      </w:pPr>
      <w:r>
        <w:t>государственного обвинителя – помощника</w:t>
      </w:r>
    </w:p>
    <w:p w:rsidR="00A77B3E" w:rsidP="00581744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  <w:t xml:space="preserve"> </w:t>
      </w:r>
      <w:r>
        <w:t>- Падалка О.В.</w:t>
      </w:r>
    </w:p>
    <w:p w:rsidR="00A77B3E" w:rsidP="00581744">
      <w:pPr>
        <w:ind w:firstLine="720"/>
        <w:jc w:val="both"/>
      </w:pPr>
      <w:r>
        <w:t xml:space="preserve">обвиняемой                                </w:t>
      </w:r>
      <w:r>
        <w:t xml:space="preserve">                            </w:t>
      </w:r>
      <w:r>
        <w:tab/>
      </w:r>
      <w:r>
        <w:tab/>
        <w:t xml:space="preserve">    </w:t>
      </w:r>
      <w:r>
        <w:tab/>
        <w:t xml:space="preserve">- </w:t>
      </w:r>
      <w:r>
        <w:t>Загородней</w:t>
      </w:r>
      <w:r>
        <w:t xml:space="preserve"> Ю.В.</w:t>
      </w:r>
    </w:p>
    <w:p w:rsidR="00581744" w:rsidP="00581744">
      <w:pPr>
        <w:ind w:firstLine="720"/>
        <w:jc w:val="both"/>
      </w:pPr>
      <w:r>
        <w:t xml:space="preserve">защитника  обвиняемой                                     </w:t>
      </w:r>
      <w:r>
        <w:tab/>
      </w:r>
      <w:r>
        <w:tab/>
        <w:t xml:space="preserve">    </w:t>
      </w:r>
      <w:r>
        <w:tab/>
        <w:t xml:space="preserve">- </w:t>
      </w:r>
      <w:r w:rsidRPr="00581744">
        <w:t>Абдышаевой</w:t>
      </w:r>
      <w:r w:rsidRPr="00581744">
        <w:t xml:space="preserve"> В.Р.</w:t>
      </w:r>
    </w:p>
    <w:p w:rsidR="00A77B3E" w:rsidP="00581744">
      <w:pPr>
        <w:ind w:firstLine="720"/>
        <w:jc w:val="both"/>
      </w:pPr>
      <w:r>
        <w:t>рассмотрев в закрытом предварительном судебном заседании в помещении судебного участка №92 Черноморского судебного района Республики</w:t>
      </w:r>
      <w:r>
        <w:t xml:space="preserve"> Крым, уголовное дело по обвинению:</w:t>
      </w:r>
    </w:p>
    <w:p w:rsidR="00A77B3E" w:rsidP="00581744">
      <w:pPr>
        <w:jc w:val="both"/>
      </w:pPr>
      <w:r>
        <w:t xml:space="preserve">         </w:t>
      </w:r>
      <w:r>
        <w:t>Загородней</w:t>
      </w:r>
      <w:r>
        <w:t xml:space="preserve"> Юлии Владимировны, ПАСПОРТНЫЕ ДАННЫЕ</w:t>
      </w:r>
      <w:r>
        <w:t>,  гражданки РФ, имеющей высшее образование, невоеннообязанной, работающей НАИМЕНОВАНИЕ ОРГАНИЗАЦИИ, замужней, имеющей на иждивении ИЗЪЯТО</w:t>
      </w:r>
      <w:r>
        <w:t>,</w:t>
      </w:r>
      <w:r>
        <w:t xml:space="preserve"> не судимой, зарегистрированной и проживающей по адресу: АДРЕС,  </w:t>
      </w:r>
    </w:p>
    <w:p w:rsidR="00A77B3E" w:rsidP="00581744">
      <w:pPr>
        <w:jc w:val="both"/>
      </w:pPr>
      <w:r>
        <w:t xml:space="preserve"> </w:t>
      </w:r>
      <w:r>
        <w:tab/>
      </w:r>
      <w:r>
        <w:t>в совершении преступления, предусмотренного ч. 1 ст.171.2 УК РФ,</w:t>
      </w:r>
    </w:p>
    <w:p w:rsidR="00A77B3E" w:rsidP="00581744">
      <w:pPr>
        <w:jc w:val="both"/>
      </w:pPr>
    </w:p>
    <w:p w:rsidR="00A77B3E" w:rsidP="00581744">
      <w:pPr>
        <w:jc w:val="both"/>
      </w:pPr>
      <w:r>
        <w:tab/>
      </w:r>
      <w:r>
        <w:tab/>
      </w:r>
      <w:r>
        <w:tab/>
        <w:t xml:space="preserve">                                </w:t>
      </w:r>
      <w:r>
        <w:t>УСТАНОВИЛ:</w:t>
      </w:r>
    </w:p>
    <w:p w:rsidR="00A77B3E" w:rsidP="00581744">
      <w:pPr>
        <w:jc w:val="both"/>
      </w:pPr>
    </w:p>
    <w:p w:rsidR="00A77B3E" w:rsidP="00581744">
      <w:pPr>
        <w:ind w:firstLine="720"/>
        <w:jc w:val="both"/>
      </w:pPr>
      <w:r>
        <w:t>Загородняя</w:t>
      </w:r>
      <w:r>
        <w:t xml:space="preserve"> Ю.В. органами предварительного следствия обвиняется в организации и проведен</w:t>
      </w:r>
      <w:r>
        <w:t>ии азартных игр с использованием игрового оборудования вне игорной зоны, при следующих обстоятельствах.</w:t>
      </w:r>
    </w:p>
    <w:p w:rsidR="00A77B3E" w:rsidP="00581744">
      <w:pPr>
        <w:ind w:firstLine="720"/>
        <w:jc w:val="both"/>
      </w:pPr>
      <w:r>
        <w:t>Федеральным законом от 29.12.2006 № 244-ФЗ (в редакции от 27.12.2019) «О государственном регулировании деятельности по организации и проведению азартных</w:t>
      </w:r>
      <w:r>
        <w:t xml:space="preserve"> игр и о внесении изменений в некоторые законодательные акты Российской Федерации» (далее – ФЗ № 244), вступившим в силу с 01.01.2007, определены правовые основы государственного регулирования деятельности по организации и проведению азартных игр на террит</w:t>
      </w:r>
      <w:r>
        <w:t>ории Российской Федерации и установлены ограничения осуществления данной деятельности в</w:t>
      </w:r>
      <w:r>
        <w:t xml:space="preserve"> </w:t>
      </w:r>
      <w:r>
        <w:t>целях</w:t>
      </w:r>
      <w:r>
        <w:t xml:space="preserve"> защиты нравственности, прав и законных интересов граждан.</w:t>
      </w:r>
    </w:p>
    <w:p w:rsidR="00A77B3E" w:rsidP="00581744">
      <w:pPr>
        <w:ind w:firstLine="720"/>
        <w:jc w:val="both"/>
      </w:pPr>
      <w:r>
        <w:t>Статьей 3 ФЗ № 244 установлено, что государственное регулирование деятельности по организации и проведен</w:t>
      </w:r>
      <w:r>
        <w:t>ию азартных игр осуществляется путем:</w:t>
      </w:r>
    </w:p>
    <w:p w:rsidR="00A77B3E" w:rsidP="00581744">
      <w:pPr>
        <w:jc w:val="both"/>
      </w:pPr>
      <w:r>
        <w:t>- установления порядка осуществления деятельности по организации и проведению азартных игр и соответствующих ограничений, обязательных требований к организаторам азартных игр, игорным заведениям, посетителям игорных за</w:t>
      </w:r>
      <w:r>
        <w:t>ведений, игорных зон;</w:t>
      </w:r>
    </w:p>
    <w:p w:rsidR="00A77B3E" w:rsidP="00581744">
      <w:pPr>
        <w:jc w:val="both"/>
      </w:pPr>
      <w:r>
        <w:t>- выделения территорий, предназначенных для осуществления деятельности по организации и проведению азартных игр, - игорных зон;</w:t>
      </w:r>
    </w:p>
    <w:p w:rsidR="00A77B3E" w:rsidP="00581744">
      <w:pPr>
        <w:jc w:val="both"/>
      </w:pPr>
      <w:r>
        <w:t>-  выдачи разрешений на осуществление деятельности по организации и проведению азартных игр в игорных зона</w:t>
      </w:r>
      <w:r>
        <w:t>х;</w:t>
      </w:r>
    </w:p>
    <w:p w:rsidR="00A77B3E" w:rsidP="00581744">
      <w:pPr>
        <w:jc w:val="both"/>
      </w:pPr>
      <w:r>
        <w:t>- выдачи лицензий на осуществление деятельности по организации и проведению азартных игр в букмекерских конторах и тотализаторах;</w:t>
      </w:r>
    </w:p>
    <w:p w:rsidR="00A77B3E" w:rsidP="00581744">
      <w:pPr>
        <w:jc w:val="both"/>
      </w:pPr>
      <w:r>
        <w:t xml:space="preserve">- осуществления государственного надзора в области организации и проведения азартных игр, направленного на предупреждение, </w:t>
      </w:r>
      <w:r>
        <w:t>выявление и пресечение нарушений законодательства о государственном регулировании деятельности по организации и проведению азартных игр лицами, осуществляющими указанную деятельность.</w:t>
      </w:r>
    </w:p>
    <w:p w:rsidR="00A77B3E" w:rsidP="00581744">
      <w:pPr>
        <w:ind w:firstLine="720"/>
        <w:jc w:val="both"/>
      </w:pPr>
      <w:r>
        <w:t xml:space="preserve">В соответствии с п.1 ст. 4 ФЗ № 244 под азартной игрой понимается </w:t>
      </w:r>
      <w:r>
        <w:t>основанное на риске соглашение о выигрыше, заключенное двумя или несколькими участниками такого соглашения между собой либо с организатором азартной игры по правилам, установленным организатором азартной игры.</w:t>
      </w:r>
    </w:p>
    <w:p w:rsidR="00A77B3E" w:rsidP="00581744">
      <w:pPr>
        <w:ind w:firstLine="720"/>
        <w:jc w:val="both"/>
      </w:pPr>
      <w:r>
        <w:t>На основании ч.2 ст. 5 ФЗ № 244 деятельность п</w:t>
      </w:r>
      <w:r>
        <w:t>о организации и проведению азартных игр может осуществляться исключительно в игорных заведениях.</w:t>
      </w:r>
    </w:p>
    <w:p w:rsidR="00A77B3E" w:rsidP="00581744">
      <w:pPr>
        <w:ind w:firstLine="720"/>
        <w:jc w:val="both"/>
      </w:pPr>
      <w:r>
        <w:t>Согласно ч.3 ст.5 ФЗ № 244 деятельность по организации и проведению азартных игр с использованием информационно-телекоммуникационных сетей, в том числе сети «И</w:t>
      </w:r>
      <w:r>
        <w:t>нтернет», а также сре</w:t>
      </w:r>
      <w:r>
        <w:t>дств св</w:t>
      </w:r>
      <w:r>
        <w:t>язи, запрещена, за исключением случаев, предусмотренных настоящим Федеральным законом.</w:t>
      </w:r>
    </w:p>
    <w:p w:rsidR="00A77B3E" w:rsidP="00581744">
      <w:pPr>
        <w:ind w:firstLine="720"/>
        <w:jc w:val="both"/>
      </w:pPr>
      <w:r>
        <w:t>В соответствии с ч. 4 ст. 5 ФЗ № 244 игорные заведения (за исключением букмекерских контор, тотализаторов, их пунктов приема ставок) могут бы</w:t>
      </w:r>
      <w:r>
        <w:t>ть открыты исключительно в игорных зонах в порядке, установленном настоящим Федеральным законом.</w:t>
      </w:r>
    </w:p>
    <w:p w:rsidR="00A77B3E" w:rsidP="00581744">
      <w:pPr>
        <w:ind w:firstLine="720"/>
        <w:jc w:val="both"/>
      </w:pPr>
      <w:r>
        <w:t>Согласно ч. 1 и ч. 2 ст. 9 ФЗ № 244 на территории Российской Федерации создается пять игорных зон, одна из которых определена на территории Республики Крым.</w:t>
      </w:r>
    </w:p>
    <w:p w:rsidR="00A77B3E" w:rsidP="00581744">
      <w:pPr>
        <w:ind w:firstLine="720"/>
        <w:jc w:val="both"/>
      </w:pPr>
      <w:r>
        <w:t>На</w:t>
      </w:r>
      <w:r>
        <w:t xml:space="preserve"> основании ч. 3 ст. 9 ФЗ № 244 порядок создания и ликвидации игорных зон, а также их наименования, границы, иные параметры игорных зон определяются Правительством Российской Федерации.</w:t>
      </w:r>
    </w:p>
    <w:p w:rsidR="00A77B3E" w:rsidP="00581744">
      <w:pPr>
        <w:ind w:firstLine="720"/>
        <w:jc w:val="both"/>
      </w:pPr>
      <w:r>
        <w:t>В соответствии с ч. 4.1 ФЗ № 244 границы игорной зоны на территории Рес</w:t>
      </w:r>
      <w:r>
        <w:t>публики Крым определяются органами исполнительной власти Республики Крым.</w:t>
      </w:r>
    </w:p>
    <w:p w:rsidR="00A77B3E" w:rsidP="00581744">
      <w:pPr>
        <w:jc w:val="both"/>
      </w:pPr>
      <w:r>
        <w:t>Управление игорными зонами на основании ч. 1 ст. 10 № 244-ФЗ осуществляется уполномоченными органами государственной власти субъекта Российской Федерации (далее – органы управления и</w:t>
      </w:r>
      <w:r>
        <w:t>горными зонами), которые в соответствии с п. 3 ч.2 ст.10 ФЗ № 244 осуществляют функции по выдаче разрешений на осуществление деятельности по организации и проведению азартных игр в игорной зоне.</w:t>
      </w:r>
    </w:p>
    <w:p w:rsidR="00A77B3E" w:rsidP="00581744">
      <w:pPr>
        <w:ind w:firstLine="720"/>
        <w:jc w:val="both"/>
      </w:pPr>
      <w:r>
        <w:t>Согласно ч.1 и ч.2 ст. 13 ФЗ № 244 разрешение на осуществлени</w:t>
      </w:r>
      <w:r>
        <w:t>е деятельности по организации и проведению азартных игр в игорной зоне предоставляет организатору азартных игр право осуществлять деятельность по организации и проведению азартных игр в игорной зоне при соблюдении требований и ограничений, установленных ре</w:t>
      </w:r>
      <w:r>
        <w:t>шением о создании соответствующей игорной зоны.</w:t>
      </w:r>
    </w:p>
    <w:p w:rsidR="00A77B3E" w:rsidP="00581744">
      <w:pPr>
        <w:ind w:firstLine="720"/>
        <w:jc w:val="both"/>
      </w:pPr>
      <w:r>
        <w:t>Разрешение на осуществление деятельности по организации и проведению азартных игр в игорной зоне выдается органом управления игорной зоной в соответствии с законодательством субъекта Российской Федерации.</w:t>
      </w:r>
    </w:p>
    <w:p w:rsidR="00A77B3E" w:rsidP="00581744">
      <w:pPr>
        <w:ind w:firstLine="720"/>
        <w:jc w:val="both"/>
      </w:pPr>
      <w:r>
        <w:t>Пос</w:t>
      </w:r>
      <w:r>
        <w:t>тановлением Правительства Российской Федерации от 18.06.2007 № 376 (в редакции от 07.06.2019) «Об утверждении положения о создании и ликвидации игорных зон» определен порядок создания и ликвидации игорных зон на территории Российской Федерации.</w:t>
      </w:r>
    </w:p>
    <w:p w:rsidR="00A77B3E" w:rsidP="00581744">
      <w:pPr>
        <w:ind w:firstLine="720"/>
        <w:jc w:val="both"/>
      </w:pPr>
      <w:r>
        <w:t>Законом Рес</w:t>
      </w:r>
      <w:r>
        <w:t>публики Крым от 30.11.2015 № 170 «О государственном регулировании деятельности по организации и проведению азартных игр в игорной зоне на территории Республики Крым» (далее – ЗРК № 170) определены нормы, направленные на реализацию норм ФЗ № 244.</w:t>
      </w:r>
    </w:p>
    <w:p w:rsidR="00A77B3E" w:rsidP="00581744">
      <w:pPr>
        <w:ind w:firstLine="720"/>
        <w:jc w:val="both"/>
      </w:pPr>
      <w:r>
        <w:t>В соответс</w:t>
      </w:r>
      <w:r>
        <w:t>твии со ст. 2 ЗРК № 170, к полномочиям Совета министров Республики Крым в части регулирования деятельности по организации и проведению азартных игр в игорной зоне на территории Республики Крым относятся:</w:t>
      </w:r>
    </w:p>
    <w:p w:rsidR="00A77B3E" w:rsidP="00581744">
      <w:pPr>
        <w:jc w:val="both"/>
      </w:pPr>
      <w:r>
        <w:t>- определение органа управления игорной зоной на тер</w:t>
      </w:r>
      <w:r>
        <w:t>ритории Республики Крым;</w:t>
      </w:r>
    </w:p>
    <w:p w:rsidR="00A77B3E" w:rsidP="00581744">
      <w:pPr>
        <w:jc w:val="both"/>
      </w:pPr>
      <w:r>
        <w:t>- определение границ игорной зоны на территории Республики Крым.</w:t>
      </w:r>
    </w:p>
    <w:p w:rsidR="00A77B3E" w:rsidP="00581744">
      <w:pPr>
        <w:ind w:firstLine="720"/>
        <w:jc w:val="both"/>
      </w:pPr>
      <w:r>
        <w:t>Согласно ч.1 и ч.2 ст. 5 ЗРК № 170, деятельность по организации и проведению азартных игр в игорной зоне осуществляется на основании разрешения, выдаваемого органом у</w:t>
      </w:r>
      <w:r>
        <w:t xml:space="preserve">правления игорной зоной. Порядок выдачи разрешения устанавливается Советом министров Республики Крым.  </w:t>
      </w:r>
    </w:p>
    <w:p w:rsidR="00A77B3E" w:rsidP="00581744">
      <w:pPr>
        <w:ind w:firstLine="720"/>
        <w:jc w:val="both"/>
      </w:pPr>
      <w:r>
        <w:t xml:space="preserve">Таким образом, организация и проведение азартных игр с использованием информационно-телекоммуникационных сетей, в том числе сети «Интернет», а также </w:t>
      </w:r>
      <w:r>
        <w:t>орг</w:t>
      </w:r>
      <w:r>
        <w:t xml:space="preserve">анизация и проведение азартных игр в игорной зоне на территории </w:t>
      </w:r>
      <w:r>
        <w:t>пгт</w:t>
      </w:r>
      <w:r>
        <w:t>. Черноморское Республики Крым, были запрещены.</w:t>
      </w:r>
    </w:p>
    <w:p w:rsidR="00A77B3E" w:rsidP="00581744">
      <w:pPr>
        <w:ind w:firstLine="720"/>
        <w:jc w:val="both"/>
      </w:pPr>
      <w:r>
        <w:t>Загородняя</w:t>
      </w:r>
      <w:r>
        <w:t xml:space="preserve"> Ю.В., ДАТА  назначена на должность менеджера в обособленное подразделение – пункт приема ставок букмекерской конторы Филиала АДРЕС</w:t>
      </w:r>
      <w:r>
        <w:t xml:space="preserve">, расположенное по адресу: АДРЕС. ДАТА на </w:t>
      </w:r>
      <w:r>
        <w:t>Загороднюю</w:t>
      </w:r>
      <w:r>
        <w:t xml:space="preserve"> Ю.В. дополнительно возложены обязанности старшего кассира. </w:t>
      </w:r>
    </w:p>
    <w:p w:rsidR="00A77B3E" w:rsidP="00581744">
      <w:pPr>
        <w:ind w:firstLine="720"/>
        <w:jc w:val="both"/>
      </w:pPr>
      <w:r>
        <w:t>В период времени с ДАТА и не позднее ДАТА, более точные дата и время начала преступной деятельности предварительным  следствием не установлены,</w:t>
      </w:r>
      <w:r>
        <w:t xml:space="preserve"> у </w:t>
      </w:r>
      <w:r>
        <w:t>Загородней</w:t>
      </w:r>
      <w:r>
        <w:t xml:space="preserve"> Ю.В., работающей менеджером игрового зала пункта приема ставок филиала АДРЕС, расположенного по адресу:</w:t>
      </w:r>
      <w:r>
        <w:t xml:space="preserve"> </w:t>
      </w:r>
      <w:r>
        <w:t>АДРЕС из корыстных побуждений, достоверно знавшей о незаконности данного вида деятельности, в целях извлечения незаконного дохода и личног</w:t>
      </w:r>
      <w:r>
        <w:t>о обогащения, возник преступный умысел, направленный на совершение преступления в сфере экономической деятельности – незаконного проведения азартных игр с использованием игрового оборудования вне игорной зоны.</w:t>
      </w:r>
    </w:p>
    <w:p w:rsidR="00A77B3E" w:rsidP="00581744">
      <w:pPr>
        <w:ind w:firstLine="720"/>
        <w:jc w:val="both"/>
      </w:pPr>
      <w:r>
        <w:t>Реализуя свой преступный умысел, в первой дека</w:t>
      </w:r>
      <w:r>
        <w:t xml:space="preserve">де ДАТА, более точные дата и время предварительным следствием не установлены,  </w:t>
      </w:r>
      <w:r>
        <w:t>З</w:t>
      </w:r>
      <w:r>
        <w:t>агородняя</w:t>
      </w:r>
      <w:r>
        <w:t xml:space="preserve"> Ю.В. приобрела в сети «Интернет» в неустановленном в ходе предварительного следствия интернет-магазине флэш накопители с предустановленным прогр</w:t>
      </w:r>
      <w:r>
        <w:t xml:space="preserve">аммным обеспечением, используемым в качестве игрового оборудования, после чего начала свою деятельность, направленную на систематическое извлечение дохода от преступной деятельности по незаконному проведению азартных игр. </w:t>
      </w:r>
    </w:p>
    <w:p w:rsidR="00A77B3E" w:rsidP="00581744">
      <w:pPr>
        <w:ind w:firstLine="720"/>
        <w:jc w:val="both"/>
      </w:pPr>
      <w:r>
        <w:t xml:space="preserve">Основой совершения </w:t>
      </w:r>
      <w:r>
        <w:t>Загородней</w:t>
      </w:r>
      <w:r>
        <w:t xml:space="preserve"> Ю.В</w:t>
      </w:r>
      <w:r>
        <w:t xml:space="preserve">. вышеуказанного преступления стало </w:t>
      </w:r>
      <w:r>
        <w:t xml:space="preserve">корыстное стремление извлечь в результате преступной деятельности материальную выгоду. </w:t>
      </w:r>
      <w:r>
        <w:t xml:space="preserve">При этом </w:t>
      </w:r>
      <w:r>
        <w:t>Загородняя</w:t>
      </w:r>
      <w:r>
        <w:t xml:space="preserve"> Ю.В. действовал умышленно, противоправно, осознавая общественную опасность своих действий, предвидя возможность и</w:t>
      </w:r>
      <w:r>
        <w:t xml:space="preserve"> неизбежность наступления общественно-опасных последствий и желая их наступления.</w:t>
      </w:r>
    </w:p>
    <w:p w:rsidR="00A77B3E" w:rsidP="00581744">
      <w:pPr>
        <w:ind w:firstLine="720"/>
        <w:jc w:val="both"/>
      </w:pPr>
      <w:r>
        <w:t>Так, в неустановленный период времени, но не позднее первой декады ДАТА, более точные дата и время начала преступной деятельности предварительным следствием не установлены, и</w:t>
      </w:r>
      <w:r>
        <w:t>спользуя помещение пункта приема ставок филиала АДРЕС, расположенном по адресу:</w:t>
      </w:r>
      <w:r>
        <w:t xml:space="preserve"> АДРЕС, в котором </w:t>
      </w:r>
      <w:r>
        <w:t>Загородняя</w:t>
      </w:r>
      <w:r>
        <w:t xml:space="preserve"> Ю.В. работая в качестве менеджера игрового зала, осуществляла умышленную деятельность по незаконному проведению азартных игр с использованием игрово</w:t>
      </w:r>
      <w:r>
        <w:t>го оборудования – игровых автоматов вне игорной зоны.</w:t>
      </w:r>
    </w:p>
    <w:p w:rsidR="00A77B3E" w:rsidP="00581744">
      <w:pPr>
        <w:ind w:firstLine="720"/>
        <w:jc w:val="both"/>
      </w:pPr>
      <w:r>
        <w:t xml:space="preserve">Незаконное проведение азартных игр в игорном заведении, расположенном в помещении здания пункта приема ставок филиала АДРЕС, расположенного по адресу: АДРЕС, </w:t>
      </w:r>
      <w:r>
        <w:t>Загородней</w:t>
      </w:r>
      <w:r>
        <w:t xml:space="preserve"> Ю.В. осуществлялось с порядком и </w:t>
      </w:r>
      <w:r>
        <w:t>правилам следующим образом:</w:t>
      </w:r>
    </w:p>
    <w:p w:rsidR="00A77B3E" w:rsidP="00581744">
      <w:pPr>
        <w:ind w:firstLine="720"/>
        <w:jc w:val="both"/>
      </w:pPr>
      <w:r>
        <w:t>Загородняя</w:t>
      </w:r>
      <w:r>
        <w:t xml:space="preserve"> Ю.В., осуществляла подмену флэш накопителей принадлежащих НАИМЕНОВАНИЕ ОРГАНИЗАЦИИ на свои с программным обеспечением, которые предварительно были приобретены вышеуказанным способом. Затем участники азартной игры – иг</w:t>
      </w:r>
      <w:r>
        <w:t>роки, желавшие сыграть в игровые автоматы то есть заключить основанное на риске соглашение в указанном игорном заведении, передавали оператору-кассиру игорного заведения, в роле которого выступали операторы-кассиры данного пункта приема ставок, не осведомл</w:t>
      </w:r>
      <w:r>
        <w:t xml:space="preserve">енные о преступной деятельности </w:t>
      </w:r>
      <w:r>
        <w:t>Загородней</w:t>
      </w:r>
      <w:r>
        <w:t xml:space="preserve"> Ю.В., свои денежные средства, после чего, игроку выдавали специальную карту лица, совершающего ставки в НАИМЕНОВАНИЕ ОРГАНИЗАЦИИ и зачисляли на карту в качестве кредитов, эквивалентных сумме переданных денежных ср</w:t>
      </w:r>
      <w:r>
        <w:t>едств. После чего оператор-кассир передавал игроку карту с индивидуальным идентификационным номером с зачисленными на ней кредитами и игрок выбирал для игр один из игровых автоматов, расположенных в вышеуказанном помещении, среди которых были автоматы с ус</w:t>
      </w:r>
      <w:r>
        <w:t xml:space="preserve">тановленными в них флэш накопителями принадлежащими </w:t>
      </w:r>
      <w:r>
        <w:t>Загородней</w:t>
      </w:r>
      <w:r>
        <w:t xml:space="preserve"> Ю.В. Далее карта с индивидуальным идентификационным номером и имевшимися на ней кредитами игроком использовались для проведения азартной игры на игровом автомате с установленном на нем флэш нак</w:t>
      </w:r>
      <w:r>
        <w:t xml:space="preserve">опителе, принадлежащем </w:t>
      </w:r>
      <w:r>
        <w:t>Загородней</w:t>
      </w:r>
      <w:r>
        <w:t xml:space="preserve"> Ю.В., в игорном заведении путем прикладывания карты к считывающему устройству. Игрок самостоятельно осуществлял виртуальную игру в программном </w:t>
      </w:r>
      <w:r>
        <w:t xml:space="preserve">обеспечении, расположенном на флэш накопителе, принадлежавшем </w:t>
      </w:r>
      <w:r>
        <w:t>Загородней</w:t>
      </w:r>
      <w:r>
        <w:t xml:space="preserve"> Ю.В., </w:t>
      </w:r>
      <w:r>
        <w:t>которое функционировало при подключении его к сети «Интернет», путем нажатия кнопок, запуская случайную смену символов, выводимых на экран, и по своему желанию имел возможность увеличения или уменьшения ставки. Выигрыш на игровом автомате определялся случа</w:t>
      </w:r>
      <w:r>
        <w:t xml:space="preserve">йным образом без участия организаторов и лиц, проводивших азартные игры (операторов), в зависимости от произвольно выпавшей электронной комбинации, в связи с чем, игрок мог как выиграть, так и проиграть свои денежные средства в азартной игре. В результате </w:t>
      </w:r>
      <w:r>
        <w:t xml:space="preserve">проигрыша игрока уплаченные им денежные средства поступали в доход </w:t>
      </w:r>
      <w:r>
        <w:t>Загородней</w:t>
      </w:r>
      <w:r>
        <w:t xml:space="preserve"> Ю.В., который самостоятельно в последующем извлекала их кассы. </w:t>
      </w:r>
    </w:p>
    <w:p w:rsidR="00A77B3E" w:rsidP="00581744">
      <w:pPr>
        <w:ind w:firstLine="720"/>
        <w:jc w:val="both"/>
      </w:pPr>
      <w:r>
        <w:t>При этом иные работники, осуществлявшие свою деятельность в игровом зале, небыли осведомлены о преступной деятельн</w:t>
      </w:r>
      <w:r>
        <w:t xml:space="preserve">ости </w:t>
      </w:r>
      <w:r>
        <w:t>Загородней</w:t>
      </w:r>
      <w:r>
        <w:t xml:space="preserve"> Ю.В. </w:t>
      </w:r>
    </w:p>
    <w:p w:rsidR="00A77B3E" w:rsidP="00581744">
      <w:pPr>
        <w:ind w:firstLine="720"/>
        <w:jc w:val="both"/>
      </w:pPr>
      <w:r>
        <w:t xml:space="preserve">Таким образом, </w:t>
      </w:r>
      <w:r>
        <w:t>Загородняя</w:t>
      </w:r>
      <w:r>
        <w:t xml:space="preserve"> Ю.В. в период времени с первой декады ДАТА по ДАТА, более точное время начала преступной </w:t>
      </w:r>
      <w:r>
        <w:t>деятельности</w:t>
      </w:r>
      <w:r>
        <w:t xml:space="preserve"> предварительным следствием не установлено, действуя умышленно, незаконно проводила азартные игры с </w:t>
      </w:r>
      <w:r>
        <w:t>использованием игрового оборудования – игровых автоматов вне игорной зоны в нежилом помещении здания пункта приема ставок филиала АДРЕС, расположенного по адресу: АДРЕС, с целью извлечения незаконного дохода в размере СУММА.</w:t>
      </w:r>
    </w:p>
    <w:p w:rsidR="00A77B3E" w:rsidP="00581744">
      <w:pPr>
        <w:ind w:firstLine="720"/>
        <w:jc w:val="both"/>
      </w:pPr>
      <w:r>
        <w:t>Деятельность по незаконной орга</w:t>
      </w:r>
      <w:r>
        <w:t xml:space="preserve">низации и проведению   </w:t>
      </w:r>
      <w:r>
        <w:t>Загородней</w:t>
      </w:r>
      <w:r>
        <w:t xml:space="preserve"> Ю.В. азартных игр с использованием игрового оборудования вне игорной зоны вышеуказанного игорного заведения осуществлялась вплоть до её пресечения правоохранительными органами ДАТА.</w:t>
      </w:r>
    </w:p>
    <w:p w:rsidR="00A77B3E" w:rsidP="00581744">
      <w:pPr>
        <w:ind w:firstLine="720"/>
        <w:jc w:val="both"/>
      </w:pPr>
      <w:r>
        <w:t>Таким образом, действия об</w:t>
      </w:r>
      <w:r>
        <w:t xml:space="preserve">виняемой </w:t>
      </w:r>
      <w:r>
        <w:t>Загородней</w:t>
      </w:r>
      <w:r>
        <w:t xml:space="preserve"> Ю.В. содержат состав преступления, предусмотренного ч. 1 ст. 171.2 УК РФ - организация и проведение азартных игр с использованием игрового оборудования вне игорной зоны. </w:t>
      </w:r>
    </w:p>
    <w:p w:rsidR="00A77B3E" w:rsidP="00581744">
      <w:pPr>
        <w:jc w:val="both"/>
      </w:pPr>
      <w:r>
        <w:t xml:space="preserve">ДАТА в ходе ознакомления с материалами уголовного дела в порядке </w:t>
      </w:r>
      <w:r>
        <w:t xml:space="preserve">ст. 217 УПК РФ, от обвиняемой </w:t>
      </w:r>
      <w:r>
        <w:t>Загородней</w:t>
      </w:r>
      <w:r>
        <w:t xml:space="preserve"> Ю.В. поступило ходатайство о проведении по данному уголовному делу предварительного слушания.  </w:t>
      </w:r>
    </w:p>
    <w:p w:rsidR="00A77B3E" w:rsidP="00581744">
      <w:pPr>
        <w:ind w:firstLine="720"/>
        <w:jc w:val="both"/>
      </w:pPr>
      <w:r>
        <w:t xml:space="preserve">В ходе предварительного слушания, защитник обвиняемой </w:t>
      </w:r>
      <w:r>
        <w:t>Загородней</w:t>
      </w:r>
      <w:r>
        <w:t xml:space="preserve"> Ю.В. -  </w:t>
      </w:r>
      <w:r w:rsidRPr="00581744">
        <w:t>Абдышаева</w:t>
      </w:r>
      <w:r w:rsidRPr="00581744">
        <w:t xml:space="preserve"> В.Р.</w:t>
      </w:r>
      <w:r>
        <w:t>, действующая на основании ордера № НОМЕР</w:t>
      </w:r>
      <w:r>
        <w:t xml:space="preserve"> </w:t>
      </w:r>
      <w:r>
        <w:t>от ДАТА, ходатайствовала о прекращении уголовного дела в связи с истечением срока давности привлечения к уголовной ответственности.</w:t>
      </w:r>
    </w:p>
    <w:p w:rsidR="00A77B3E" w:rsidP="00581744">
      <w:pPr>
        <w:ind w:firstLine="720"/>
        <w:jc w:val="both"/>
      </w:pPr>
      <w:r>
        <w:t xml:space="preserve">Обвиняемая  </w:t>
      </w:r>
      <w:r>
        <w:t>Загородняя</w:t>
      </w:r>
      <w:r>
        <w:t xml:space="preserve"> Ю.В.  вину в предъявленном обвинении по ч. 1 ст. 171.2 УК РФ признала полностью, в содеянном раскаяла</w:t>
      </w:r>
      <w:r>
        <w:t>сь, не возражала против прекращения уголовного дела в связи с истечением срока давности уголовного преследования.</w:t>
      </w:r>
      <w:r>
        <w:t xml:space="preserve"> Основания, порядок и последствия прекращения дела по данному </w:t>
      </w:r>
      <w:r>
        <w:t>нереабилитирующему</w:t>
      </w:r>
      <w:r>
        <w:t xml:space="preserve"> основанию ей разъяснены и понятны.</w:t>
      </w:r>
    </w:p>
    <w:p w:rsidR="00A77B3E" w:rsidP="00581744">
      <w:pPr>
        <w:ind w:firstLine="720"/>
        <w:jc w:val="both"/>
      </w:pPr>
      <w:r>
        <w:t xml:space="preserve">Государственный обвинитель </w:t>
      </w:r>
      <w:r>
        <w:t xml:space="preserve">Падалка О.В. полагал возможным прекратить уголовное дело и уголовное преследование в отношении </w:t>
      </w:r>
      <w:r>
        <w:t>Загородней</w:t>
      </w:r>
      <w:r>
        <w:t xml:space="preserve"> Ю.В., обвиняемой в совершении  преступления, предусмотренного ч. 1 ст. 171.2 УК РФ, в связи с истечением сроков давности уголовного преследования по о</w:t>
      </w:r>
      <w:r>
        <w:t>снованиям, предусмотренным п. 3 ч. 1 ст. 24 УПК РФ, поскольку на момент проведения настоящего предварительного слушания истёк срок давности, установленный п</w:t>
      </w:r>
      <w:r>
        <w:t>. «а» ч. 1 ст. 78 УК РФ.</w:t>
      </w:r>
    </w:p>
    <w:p w:rsidR="00A77B3E" w:rsidP="00581744">
      <w:pPr>
        <w:ind w:firstLine="720"/>
        <w:jc w:val="both"/>
      </w:pPr>
      <w:r>
        <w:t xml:space="preserve">Обсудив вопрос о возможности прекращения уголовного дела в отношении </w:t>
      </w:r>
      <w:r>
        <w:t>Загоро</w:t>
      </w:r>
      <w:r>
        <w:t>дней</w:t>
      </w:r>
      <w:r>
        <w:t xml:space="preserve"> Ю.В., суд приходит к следующим выводам.</w:t>
      </w:r>
    </w:p>
    <w:p w:rsidR="00A77B3E" w:rsidP="00581744">
      <w:pPr>
        <w:ind w:firstLine="720"/>
        <w:jc w:val="both"/>
      </w:pPr>
      <w:r>
        <w:t xml:space="preserve">В соответствии с ч. 1 ст. 239 УПК РФ в случаях, предусмотренных пунктами 3 - 6 части первой, частью второй статьи 24 и пунктами 3 - 6 части первой статьи 27 настоящего Кодекса, а также в случае отказа прокурора </w:t>
      </w:r>
      <w:r>
        <w:t>от обвинения в порядке, установленном частью седьмой статьи 246 настоящего Кодекса, судья выносит постановление о прекращении уголовного дела.</w:t>
      </w:r>
    </w:p>
    <w:p w:rsidR="00A77B3E" w:rsidP="00581744">
      <w:pPr>
        <w:ind w:firstLine="720"/>
        <w:jc w:val="both"/>
      </w:pPr>
      <w:r>
        <w:t>Согласно п. 2 ч. 1 ст. 27 УПК РФ, уголовное преследование в отношении подозреваемого или обвиняемого прекращается</w:t>
      </w:r>
      <w:r>
        <w:t xml:space="preserve"> по основаниям, предусмотренным пунктами 1 - 6 части первой статьи 24 УПК РФ.</w:t>
      </w:r>
    </w:p>
    <w:p w:rsidR="00A77B3E" w:rsidP="00581744">
      <w:pPr>
        <w:ind w:firstLine="720"/>
        <w:jc w:val="both"/>
      </w:pPr>
      <w:r>
        <w:t>В соответствии с п. 3 ч. 1 ст. 24 УПК РФ, уголовное дело не может быть возбуждено, а возбужденное уголовное дело подлежит прекращению по основаниям, если истекли сроки давности у</w:t>
      </w:r>
      <w:r>
        <w:t>головного преследования.</w:t>
      </w:r>
    </w:p>
    <w:p w:rsidR="00A77B3E" w:rsidP="00581744">
      <w:pPr>
        <w:ind w:firstLine="720"/>
        <w:jc w:val="both"/>
      </w:pPr>
      <w:r>
        <w:t>Прекращение уголовного дела влечет за собой одновременно прекращение уголовного преследования. В силу ч. 2 ст. 15 УК РФ, преступлениями небольшой тяжести признаются умышленные и неосторожные деяния, за совершение которых максимальн</w:t>
      </w:r>
      <w:r>
        <w:t>ое наказание, предусмотренное УК РФ, не превышает трех лет лишения свободы.</w:t>
      </w:r>
    </w:p>
    <w:p w:rsidR="00A77B3E" w:rsidP="00581744">
      <w:pPr>
        <w:ind w:firstLine="720"/>
        <w:jc w:val="both"/>
      </w:pPr>
      <w:r>
        <w:t>Преступление, предусмотренное ч. 1 ст. 171.2 УК РФ относится к преступлениям небольшой тяжести.</w:t>
      </w:r>
    </w:p>
    <w:p w:rsidR="00A77B3E" w:rsidP="00581744">
      <w:pPr>
        <w:ind w:firstLine="720"/>
        <w:jc w:val="both"/>
      </w:pPr>
      <w:r>
        <w:t>В соответствии с п. "а" ч. 1 ст. 78 УК РФ, лицо освобождается от уголовной ответстве</w:t>
      </w:r>
      <w:r>
        <w:t>нности, если со дня совершения преступления истекли следующие сроки - два года после совершения преступления небольшой тяжести.</w:t>
      </w:r>
    </w:p>
    <w:p w:rsidR="00A77B3E" w:rsidP="00581744">
      <w:pPr>
        <w:ind w:firstLine="720"/>
        <w:jc w:val="both"/>
      </w:pPr>
      <w:r>
        <w:t xml:space="preserve">Из предъявленного </w:t>
      </w:r>
      <w:r>
        <w:t>Загородней</w:t>
      </w:r>
      <w:r>
        <w:t xml:space="preserve"> Ю.В. обвинения следует, что инкриминируемое ей преступление было совершено в период времени с перво</w:t>
      </w:r>
      <w:r>
        <w:t xml:space="preserve">й декады ДАТА </w:t>
      </w:r>
      <w:r>
        <w:t>по</w:t>
      </w:r>
      <w:r>
        <w:t xml:space="preserve"> </w:t>
      </w:r>
      <w:r>
        <w:t>ДАТА</w:t>
      </w:r>
      <w:r>
        <w:t xml:space="preserve"> (более точное время начала преступной деятельности предварительным следствием не установлено).</w:t>
      </w:r>
    </w:p>
    <w:p w:rsidR="00A77B3E" w:rsidP="00581744">
      <w:pPr>
        <w:jc w:val="both"/>
      </w:pPr>
      <w:r>
        <w:t xml:space="preserve"> </w:t>
      </w:r>
      <w:r>
        <w:tab/>
      </w:r>
      <w:r>
        <w:t xml:space="preserve">Данное уголовное дело возбуждено органом дознания ДАТА,  поступило в суд ДАТА, то есть по истечении срока привлечения </w:t>
      </w:r>
      <w:r>
        <w:t>Загородней</w:t>
      </w:r>
      <w:r>
        <w:t xml:space="preserve"> Ю.В.  к у</w:t>
      </w:r>
      <w:r>
        <w:t xml:space="preserve">головной ответственности. При этом сведений о том, что </w:t>
      </w:r>
      <w:r>
        <w:t>Загородняя</w:t>
      </w:r>
      <w:r>
        <w:t xml:space="preserve"> Ю.В.  уклонялась от следствия и суда в материалах дела не имеется.</w:t>
      </w:r>
    </w:p>
    <w:p w:rsidR="00A77B3E" w:rsidP="00581744">
      <w:pPr>
        <w:ind w:firstLine="720"/>
        <w:jc w:val="both"/>
      </w:pPr>
      <w:r>
        <w:t xml:space="preserve">При таких данных следует признать, что срок давности привлечения </w:t>
      </w:r>
      <w:r>
        <w:t>Загородней</w:t>
      </w:r>
      <w:r>
        <w:t xml:space="preserve"> Ю.В. к уголовной ответственности за совершение </w:t>
      </w:r>
      <w:r>
        <w:t>преступления, отнесённого законом к категории преступлений небольшой тяжести, истёк ДАТА.</w:t>
      </w:r>
    </w:p>
    <w:p w:rsidR="00A77B3E" w:rsidP="00581744">
      <w:pPr>
        <w:ind w:firstLine="720"/>
        <w:jc w:val="both"/>
      </w:pPr>
      <w:r>
        <w:t>Оснований для приостановления течения сроков давности уголовного преследования, предусмотренных ч. 3 ст. 78 УК РФ, суд не усматривает.</w:t>
      </w:r>
    </w:p>
    <w:p w:rsidR="00A77B3E" w:rsidP="00581744">
      <w:pPr>
        <w:ind w:firstLine="720"/>
        <w:jc w:val="both"/>
      </w:pPr>
      <w:r>
        <w:t>Пункт 3 ч. 1 ст. 24 УПК РФ обяз</w:t>
      </w:r>
      <w:r>
        <w:t>ывает прекращать уголовные дела в случае истечения сроков давности уголовного преследования.</w:t>
      </w:r>
    </w:p>
    <w:p w:rsidR="00A77B3E" w:rsidP="00581744">
      <w:pPr>
        <w:ind w:firstLine="720"/>
        <w:jc w:val="both"/>
      </w:pPr>
      <w:r>
        <w:t xml:space="preserve">На основании изложенного, суд считает необходимым освободить </w:t>
      </w:r>
      <w:r>
        <w:t>Загороднюю</w:t>
      </w:r>
      <w:r>
        <w:t xml:space="preserve"> Ю.В. от уголовной ответственности в соответствии с п. "а" ч. 1 ст. 78 УК РФ, и прекратить у</w:t>
      </w:r>
      <w:r>
        <w:t xml:space="preserve">головное дело по обвинению ее в совершении преступления, предусмотренного ч. 1 ст. 171.2 УК РФ на основании п. 3 ч. 1 ст. 24 УПК РФ, в связи с истечением сроков давности уголовного преследования. </w:t>
      </w:r>
    </w:p>
    <w:p w:rsidR="00A77B3E" w:rsidP="00581744">
      <w:pPr>
        <w:ind w:firstLine="720"/>
        <w:jc w:val="both"/>
      </w:pPr>
      <w:r>
        <w:t xml:space="preserve">Мера пресечения </w:t>
      </w:r>
      <w:r>
        <w:t>Загородней</w:t>
      </w:r>
      <w:r>
        <w:t xml:space="preserve"> Ю.В. подписка о невыезде  и надл</w:t>
      </w:r>
      <w:r>
        <w:t xml:space="preserve">ежащем поведении, избранная в отношении </w:t>
      </w:r>
      <w:r>
        <w:t>Загородней</w:t>
      </w:r>
      <w:r>
        <w:t xml:space="preserve"> Ю.В., подлежит отмене.</w:t>
      </w:r>
    </w:p>
    <w:p w:rsidR="00A77B3E" w:rsidP="00581744">
      <w:pPr>
        <w:ind w:firstLine="720"/>
        <w:jc w:val="both"/>
      </w:pPr>
      <w:r>
        <w:t>Гражданский иск по делу не заявлен.</w:t>
      </w:r>
    </w:p>
    <w:p w:rsidR="00A77B3E" w:rsidP="00581744">
      <w:pPr>
        <w:jc w:val="both"/>
      </w:pPr>
      <w:r>
        <w:t xml:space="preserve">         Вопрос о вещественных доказательствах по делу суд разрешает в соответствии со ст.ст.81, 82 УПК РФ. </w:t>
      </w:r>
    </w:p>
    <w:p w:rsidR="00A77B3E" w:rsidP="00581744">
      <w:pPr>
        <w:ind w:firstLine="720"/>
        <w:jc w:val="both"/>
      </w:pPr>
      <w:r>
        <w:t>На основании изложенного, руководству</w:t>
      </w:r>
      <w:r>
        <w:t>ясь ст. 24, 27, 254 УПК РФ, 78 УК РФ, мировой судья, -</w:t>
      </w:r>
    </w:p>
    <w:p w:rsidR="00A77B3E" w:rsidP="00581744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581744">
      <w:pPr>
        <w:jc w:val="both"/>
      </w:pPr>
    </w:p>
    <w:p w:rsidR="00A77B3E" w:rsidP="00581744">
      <w:pPr>
        <w:ind w:firstLine="720"/>
        <w:jc w:val="both"/>
      </w:pPr>
      <w:r>
        <w:t xml:space="preserve">Прекратить уголовное дело и уголовное преследование в отношении </w:t>
      </w:r>
      <w:r>
        <w:t>Загородней</w:t>
      </w:r>
      <w:r>
        <w:t xml:space="preserve"> Юлии Владимировны, обвиняемой в совершении преступления, предусмо</w:t>
      </w:r>
      <w:r>
        <w:t>тренного ч. 1 ст. 171.2 УК РФ, в связи с истечением сроков давности уголовного преследования, на основании п. 2 ч. 1 ст. 27, п. 3 ч. 1 ст. 24 УПК РФ.</w:t>
      </w:r>
    </w:p>
    <w:p w:rsidR="00A77B3E" w:rsidP="00581744">
      <w:pPr>
        <w:jc w:val="both"/>
      </w:pPr>
      <w:r>
        <w:tab/>
        <w:t xml:space="preserve">Меру пресечения  в отношении </w:t>
      </w:r>
      <w:r>
        <w:t>Загородней</w:t>
      </w:r>
      <w:r>
        <w:t xml:space="preserve"> Ю.В. в виде  подписки о невыезде и надлежащем поведении отменить.</w:t>
      </w:r>
      <w:r>
        <w:t xml:space="preserve"> </w:t>
      </w:r>
    </w:p>
    <w:p w:rsidR="00A77B3E" w:rsidP="00581744">
      <w:pPr>
        <w:jc w:val="both"/>
      </w:pPr>
      <w:r>
        <w:t xml:space="preserve">  </w:t>
      </w:r>
      <w:r>
        <w:tab/>
      </w:r>
      <w:r>
        <w:t xml:space="preserve">Вещественные доказательства по уголовному делу: </w:t>
      </w:r>
    </w:p>
    <w:p w:rsidR="00A77B3E" w:rsidP="00581744">
      <w:pPr>
        <w:jc w:val="both"/>
      </w:pPr>
      <w:r>
        <w:t xml:space="preserve">- 10 терминалов; </w:t>
      </w:r>
    </w:p>
    <w:p w:rsidR="00A77B3E" w:rsidP="00581744">
      <w:pPr>
        <w:jc w:val="both"/>
      </w:pPr>
      <w:r>
        <w:t xml:space="preserve">- маршрутизатор; </w:t>
      </w:r>
    </w:p>
    <w:p w:rsidR="00A77B3E" w:rsidP="00581744">
      <w:pPr>
        <w:jc w:val="both"/>
      </w:pPr>
      <w:r>
        <w:t xml:space="preserve">- 10 терминалов с проводами и </w:t>
      </w:r>
      <w:r>
        <w:t>флешкартами</w:t>
      </w:r>
      <w:r>
        <w:t xml:space="preserve">; </w:t>
      </w:r>
    </w:p>
    <w:p w:rsidR="00A77B3E" w:rsidP="00581744">
      <w:pPr>
        <w:jc w:val="both"/>
      </w:pPr>
      <w:r>
        <w:t xml:space="preserve">- маршрутизатор, </w:t>
      </w:r>
    </w:p>
    <w:p w:rsidR="00A77B3E" w:rsidP="00581744">
      <w:pPr>
        <w:jc w:val="both"/>
      </w:pPr>
      <w:r>
        <w:t xml:space="preserve">- кабели с удлинителями; </w:t>
      </w:r>
    </w:p>
    <w:p w:rsidR="00A77B3E" w:rsidP="00581744">
      <w:pPr>
        <w:jc w:val="both"/>
      </w:pPr>
      <w:r>
        <w:t xml:space="preserve">- кассовая книга 2018; </w:t>
      </w:r>
    </w:p>
    <w:p w:rsidR="00A77B3E" w:rsidP="00581744">
      <w:pPr>
        <w:jc w:val="both"/>
      </w:pPr>
      <w:r>
        <w:t xml:space="preserve">- распечатка Правила приема ставок и выплат выигрыша за ДАТА; </w:t>
      </w:r>
    </w:p>
    <w:p w:rsidR="00A77B3E" w:rsidP="00581744">
      <w:pPr>
        <w:jc w:val="both"/>
      </w:pPr>
      <w:r>
        <w:t xml:space="preserve">- файл с упаковкой Микрософт; </w:t>
      </w:r>
    </w:p>
    <w:p w:rsidR="00A77B3E" w:rsidP="00581744">
      <w:pPr>
        <w:jc w:val="both"/>
      </w:pPr>
      <w:r>
        <w:t>- картонная коробка с техническими паспортами на терминалы «НАИМЕНОВАНИЕ</w:t>
      </w:r>
      <w:r>
        <w:t xml:space="preserve">»; </w:t>
      </w:r>
    </w:p>
    <w:p w:rsidR="00A77B3E" w:rsidP="00581744">
      <w:pPr>
        <w:jc w:val="both"/>
      </w:pPr>
      <w:r>
        <w:t xml:space="preserve">- удостоверение </w:t>
      </w:r>
      <w:r>
        <w:t>Загородней</w:t>
      </w:r>
      <w:r>
        <w:t xml:space="preserve"> Ю.В.; </w:t>
      </w:r>
    </w:p>
    <w:p w:rsidR="00A77B3E" w:rsidP="00581744">
      <w:pPr>
        <w:jc w:val="both"/>
      </w:pPr>
      <w:r>
        <w:t xml:space="preserve">- 2 упаковки Сим карт; </w:t>
      </w:r>
    </w:p>
    <w:p w:rsidR="00A77B3E" w:rsidP="00581744">
      <w:pPr>
        <w:jc w:val="both"/>
      </w:pPr>
      <w:r>
        <w:t xml:space="preserve">- 2 книжки на электросчетчик; </w:t>
      </w:r>
    </w:p>
    <w:p w:rsidR="00A77B3E" w:rsidP="00581744">
      <w:pPr>
        <w:jc w:val="both"/>
      </w:pPr>
      <w:r>
        <w:t xml:space="preserve"> </w:t>
      </w:r>
      <w:r>
        <w:t>-</w:t>
      </w:r>
      <w:r>
        <w:t xml:space="preserve"> папки скоросшивателя с данными на игроков; </w:t>
      </w:r>
    </w:p>
    <w:p w:rsidR="00A77B3E" w:rsidP="00581744">
      <w:pPr>
        <w:jc w:val="both"/>
      </w:pPr>
      <w:r>
        <w:t xml:space="preserve"> </w:t>
      </w:r>
      <w:r>
        <w:t xml:space="preserve">- книга приема сдачи дежурств; </w:t>
      </w:r>
    </w:p>
    <w:p w:rsidR="00A77B3E" w:rsidP="00581744">
      <w:pPr>
        <w:jc w:val="both"/>
      </w:pPr>
      <w:r>
        <w:t xml:space="preserve">-18 листов с записями;  </w:t>
      </w:r>
    </w:p>
    <w:p w:rsidR="00A77B3E" w:rsidP="00581744">
      <w:pPr>
        <w:jc w:val="both"/>
      </w:pPr>
      <w:r>
        <w:t xml:space="preserve">- тетрадь в обложке зеленого цвета и 7 листов с записями;  </w:t>
      </w:r>
    </w:p>
    <w:p w:rsidR="00A77B3E" w:rsidP="00581744">
      <w:pPr>
        <w:jc w:val="both"/>
      </w:pPr>
      <w:r>
        <w:t xml:space="preserve">- плазменные экраны </w:t>
      </w:r>
      <w:r>
        <w:t>Hudai</w:t>
      </w:r>
      <w:r>
        <w:t xml:space="preserve">; </w:t>
      </w:r>
    </w:p>
    <w:p w:rsidR="00A77B3E" w:rsidP="00581744">
      <w:pPr>
        <w:jc w:val="both"/>
      </w:pPr>
      <w:r>
        <w:t xml:space="preserve">- пластиковая папка с трудовыми договорами (копии паспортов);  </w:t>
      </w:r>
    </w:p>
    <w:p w:rsidR="00A77B3E" w:rsidP="00581744">
      <w:pPr>
        <w:jc w:val="both"/>
      </w:pPr>
      <w:r>
        <w:t xml:space="preserve">- папка с уставными документами;  </w:t>
      </w:r>
    </w:p>
    <w:p w:rsidR="00A77B3E" w:rsidP="00581744">
      <w:pPr>
        <w:jc w:val="both"/>
      </w:pPr>
      <w:r>
        <w:t xml:space="preserve">- папка с документами по финансовому мониторингу;  </w:t>
      </w:r>
    </w:p>
    <w:p w:rsidR="00A77B3E" w:rsidP="00581744">
      <w:pPr>
        <w:jc w:val="both"/>
      </w:pPr>
      <w:r>
        <w:t xml:space="preserve">- папка с договорами на оказания услуг интернета; папка с договорами найма жилого помещения;  </w:t>
      </w:r>
    </w:p>
    <w:p w:rsidR="00A77B3E" w:rsidP="00581744">
      <w:pPr>
        <w:jc w:val="both"/>
      </w:pPr>
      <w:r>
        <w:t>- папка с документами к программному обеспечению;  пластиковая папка с док</w:t>
      </w:r>
      <w:r>
        <w:t xml:space="preserve">ументами на оборудование;  </w:t>
      </w:r>
    </w:p>
    <w:p w:rsidR="00A77B3E" w:rsidP="00581744">
      <w:pPr>
        <w:jc w:val="both"/>
      </w:pPr>
      <w:r>
        <w:t xml:space="preserve">- пластиковая папка с документами на охрану; </w:t>
      </w:r>
    </w:p>
    <w:p w:rsidR="00A77B3E" w:rsidP="00581744">
      <w:pPr>
        <w:jc w:val="both"/>
      </w:pPr>
      <w:r>
        <w:t xml:space="preserve">- папка с документами  и платежными поручениями на оказание услуг;  картонная коробка с электронными картами 161 шт.;  </w:t>
      </w:r>
    </w:p>
    <w:p w:rsidR="00A77B3E" w:rsidP="00581744">
      <w:pPr>
        <w:jc w:val="both"/>
      </w:pPr>
      <w:r>
        <w:t xml:space="preserve">- счет на оплату кредита; </w:t>
      </w:r>
    </w:p>
    <w:p w:rsidR="00A77B3E" w:rsidP="00581744">
      <w:pPr>
        <w:jc w:val="both"/>
      </w:pPr>
      <w:r>
        <w:t xml:space="preserve">- копия правил спортивных игр; </w:t>
      </w:r>
    </w:p>
    <w:p w:rsidR="00A77B3E" w:rsidP="00581744">
      <w:pPr>
        <w:jc w:val="both"/>
      </w:pPr>
      <w:r>
        <w:t xml:space="preserve">- файл со свидетельством; </w:t>
      </w:r>
    </w:p>
    <w:p w:rsidR="00A77B3E" w:rsidP="00581744">
      <w:pPr>
        <w:jc w:val="both"/>
      </w:pPr>
      <w:r>
        <w:t xml:space="preserve">- кассовая книга за ДАТА; </w:t>
      </w:r>
    </w:p>
    <w:p w:rsidR="00A77B3E" w:rsidP="00581744">
      <w:pPr>
        <w:jc w:val="both"/>
      </w:pPr>
      <w:r>
        <w:t xml:space="preserve">- коробка с компьютерными принадлежностями; </w:t>
      </w:r>
    </w:p>
    <w:p w:rsidR="00A77B3E" w:rsidP="00581744">
      <w:pPr>
        <w:jc w:val="both"/>
      </w:pPr>
      <w:r>
        <w:t xml:space="preserve">- коробка бело-зеленого цвета с зарядными устройствами; </w:t>
      </w:r>
    </w:p>
    <w:p w:rsidR="00A77B3E" w:rsidP="00581744">
      <w:pPr>
        <w:jc w:val="both"/>
      </w:pPr>
      <w:r>
        <w:t>- коробка бело-красного цвета  с предметами для обслуживания терминалов;</w:t>
      </w:r>
    </w:p>
    <w:p w:rsidR="00A77B3E" w:rsidP="00581744">
      <w:pPr>
        <w:jc w:val="both"/>
      </w:pPr>
      <w:r>
        <w:t xml:space="preserve">- коробка от роутера; </w:t>
      </w:r>
    </w:p>
    <w:p w:rsidR="00A77B3E" w:rsidP="00581744">
      <w:pPr>
        <w:jc w:val="both"/>
      </w:pPr>
      <w:r>
        <w:t>- фи</w:t>
      </w:r>
      <w:r>
        <w:t xml:space="preserve">олетовая папка с копиями паспортов  и соглашениями игроков;  </w:t>
      </w:r>
    </w:p>
    <w:p w:rsidR="00A77B3E" w:rsidP="00581744">
      <w:pPr>
        <w:jc w:val="both"/>
      </w:pPr>
      <w:r>
        <w:t>- файл с документами «НАИМЕНОВАНИЕ ОРГАНИЗАЦИИ</w:t>
      </w:r>
      <w:r>
        <w:t xml:space="preserve">»; </w:t>
      </w:r>
    </w:p>
    <w:p w:rsidR="00A77B3E" w:rsidP="00581744">
      <w:pPr>
        <w:jc w:val="both"/>
      </w:pPr>
      <w:r>
        <w:t>- журнал регистрации выходов на смену;</w:t>
      </w:r>
    </w:p>
    <w:p w:rsidR="00A77B3E" w:rsidP="00581744">
      <w:pPr>
        <w:jc w:val="both"/>
      </w:pPr>
      <w:r>
        <w:t xml:space="preserve">- кассовый аппарат; </w:t>
      </w:r>
    </w:p>
    <w:p w:rsidR="00A77B3E" w:rsidP="00581744">
      <w:pPr>
        <w:jc w:val="both"/>
      </w:pPr>
      <w:r>
        <w:t xml:space="preserve">- монитор;  </w:t>
      </w:r>
    </w:p>
    <w:p w:rsidR="00A77B3E" w:rsidP="00581744">
      <w:pPr>
        <w:jc w:val="both"/>
      </w:pPr>
      <w:r>
        <w:t>- системный блок;</w:t>
      </w:r>
    </w:p>
    <w:p w:rsidR="00A77B3E" w:rsidP="00581744">
      <w:pPr>
        <w:jc w:val="both"/>
      </w:pPr>
      <w:r>
        <w:t xml:space="preserve">-  клавиатура, мышка, </w:t>
      </w:r>
      <w:r>
        <w:t>картридер</w:t>
      </w:r>
      <w:r>
        <w:t xml:space="preserve">; </w:t>
      </w:r>
    </w:p>
    <w:p w:rsidR="00A77B3E" w:rsidP="00581744">
      <w:pPr>
        <w:jc w:val="both"/>
      </w:pPr>
      <w:r>
        <w:t>- 4 системных блока;</w:t>
      </w:r>
    </w:p>
    <w:p w:rsidR="00A77B3E" w:rsidP="00581744">
      <w:pPr>
        <w:jc w:val="both"/>
      </w:pPr>
      <w:r>
        <w:t xml:space="preserve">- системный </w:t>
      </w:r>
      <w:r>
        <w:t xml:space="preserve">блок, с проводами и роутерами, </w:t>
      </w:r>
      <w:r>
        <w:t>бесперебойником</w:t>
      </w:r>
      <w:r>
        <w:t xml:space="preserve"> маршрутизатором, мышкой и кабелями соединительными;</w:t>
      </w:r>
    </w:p>
    <w:p w:rsidR="00A77B3E" w:rsidP="00581744">
      <w:pPr>
        <w:jc w:val="both"/>
      </w:pPr>
      <w:r>
        <w:t>- детектор купюр и счетная машинка;</w:t>
      </w:r>
    </w:p>
    <w:p w:rsidR="00A77B3E" w:rsidP="00581744">
      <w:pPr>
        <w:jc w:val="both"/>
      </w:pPr>
      <w:r>
        <w:t>- кассовый сейф с СУММА.</w:t>
      </w:r>
    </w:p>
    <w:p w:rsidR="00A77B3E" w:rsidP="00581744">
      <w:pPr>
        <w:jc w:val="both"/>
      </w:pPr>
      <w:r>
        <w:t>- мобильный телефон Самсунг</w:t>
      </w:r>
    </w:p>
    <w:p w:rsidR="00A77B3E" w:rsidP="00581744">
      <w:pPr>
        <w:jc w:val="both"/>
      </w:pPr>
      <w:r>
        <w:t xml:space="preserve">- мобильный телефон Самсунг, </w:t>
      </w:r>
      <w:r>
        <w:t>Престижио</w:t>
      </w:r>
      <w:r>
        <w:t>.</w:t>
      </w:r>
    </w:p>
    <w:p w:rsidR="00A77B3E" w:rsidP="00581744">
      <w:pPr>
        <w:jc w:val="both"/>
      </w:pPr>
      <w:r>
        <w:t xml:space="preserve">- мобильный телефон Самсунг </w:t>
      </w:r>
    </w:p>
    <w:p w:rsidR="00A77B3E" w:rsidP="00581744">
      <w:pPr>
        <w:jc w:val="both"/>
      </w:pPr>
      <w:r>
        <w:t xml:space="preserve">- мобильный телефон </w:t>
      </w:r>
      <w:r>
        <w:t>Айфон</w:t>
      </w:r>
      <w:r>
        <w:t xml:space="preserve"> </w:t>
      </w:r>
    </w:p>
    <w:p w:rsidR="00A77B3E" w:rsidP="00581744">
      <w:pPr>
        <w:jc w:val="both"/>
      </w:pPr>
      <w:r>
        <w:t>- 3 диска с видеозаписями</w:t>
      </w:r>
    </w:p>
    <w:p w:rsidR="00A77B3E" w:rsidP="00581744">
      <w:pPr>
        <w:jc w:val="both"/>
      </w:pPr>
      <w:r>
        <w:t>- 2 системных блока</w:t>
      </w:r>
    </w:p>
    <w:p w:rsidR="00A77B3E" w:rsidP="00581744">
      <w:pPr>
        <w:jc w:val="both"/>
      </w:pPr>
      <w:r>
        <w:t xml:space="preserve">- 1 мобильный телефон </w:t>
      </w:r>
      <w:r>
        <w:t>Редми</w:t>
      </w:r>
    </w:p>
    <w:p w:rsidR="00A77B3E" w:rsidP="00581744">
      <w:pPr>
        <w:jc w:val="both"/>
      </w:pPr>
      <w:r>
        <w:t>- жесткие диски</w:t>
      </w:r>
    </w:p>
    <w:p w:rsidR="00A77B3E" w:rsidP="00581744">
      <w:pPr>
        <w:jc w:val="both"/>
      </w:pPr>
      <w:r>
        <w:t xml:space="preserve">- сервер АДРЕС» состоящий из 6 плат 19 дюймов, находящиеся на хранении в камере хранения вещественных доказательств </w:t>
      </w:r>
      <w:r>
        <w:t>Раздольненского</w:t>
      </w:r>
      <w:r>
        <w:t xml:space="preserve"> МСО (т</w:t>
      </w:r>
      <w:r>
        <w:t xml:space="preserve">.5 л.д.65-67), передать по принадлежности собственникам; </w:t>
      </w:r>
    </w:p>
    <w:p w:rsidR="00A77B3E" w:rsidP="00581744">
      <w:pPr>
        <w:jc w:val="both"/>
      </w:pPr>
      <w:r>
        <w:t>- тетрадь на 21 листе в клетку с рукописными записями на 4 листах, приобщенная к материалам дела, оставить при деле №1-92-36/2021.</w:t>
      </w:r>
    </w:p>
    <w:p w:rsidR="00A77B3E" w:rsidP="00581744">
      <w:pPr>
        <w:ind w:firstLine="720"/>
        <w:jc w:val="both"/>
      </w:pPr>
      <w:r>
        <w:t>Постановление может быть обжаловано в Черноморский районный суд Рес</w:t>
      </w:r>
      <w:r>
        <w:t>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581744">
      <w:pPr>
        <w:ind w:firstLine="720"/>
        <w:jc w:val="both"/>
      </w:pPr>
      <w:r>
        <w:t xml:space="preserve">В случае подачи апелляционной жалобы стороны вправе ходатайствовать о своем участии в рассмотрении уголовного </w:t>
      </w:r>
      <w:r>
        <w:t>дела судом апелляционной инстанции.</w:t>
      </w:r>
    </w:p>
    <w:p w:rsidR="00A77B3E" w:rsidP="00581744">
      <w:pPr>
        <w:jc w:val="both"/>
      </w:pPr>
      <w:r>
        <w:t xml:space="preserve">    </w:t>
      </w:r>
    </w:p>
    <w:p w:rsidR="00A77B3E" w:rsidP="00581744">
      <w:pPr>
        <w:jc w:val="both"/>
      </w:pPr>
    </w:p>
    <w:p w:rsidR="00A77B3E" w:rsidP="00581744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подпись                                О.В. </w:t>
      </w:r>
      <w:r>
        <w:t>Байбарза</w:t>
      </w:r>
    </w:p>
    <w:p w:rsidR="00A77B3E" w:rsidP="00581744">
      <w:pPr>
        <w:jc w:val="both"/>
      </w:pPr>
    </w:p>
    <w:p w:rsidR="00A77B3E" w:rsidP="00581744">
      <w:pPr>
        <w:jc w:val="both"/>
      </w:pPr>
    </w:p>
    <w:p w:rsidR="00A77B3E" w:rsidP="00581744">
      <w:pPr>
        <w:jc w:val="both"/>
      </w:pPr>
      <w:r>
        <w:t xml:space="preserve"> </w:t>
      </w:r>
    </w:p>
    <w:p w:rsidR="00581744" w:rsidRPr="006D51A8" w:rsidP="00581744">
      <w:pPr>
        <w:ind w:firstLine="720"/>
        <w:jc w:val="both"/>
      </w:pPr>
      <w:r w:rsidRPr="006D51A8">
        <w:t>«СОГЛАСОВАНО»</w:t>
      </w:r>
    </w:p>
    <w:p w:rsidR="00581744" w:rsidRPr="006D51A8" w:rsidP="00581744">
      <w:pPr>
        <w:ind w:firstLine="720"/>
        <w:jc w:val="both"/>
      </w:pPr>
    </w:p>
    <w:p w:rsidR="00581744" w:rsidRPr="006D51A8" w:rsidP="00581744">
      <w:pPr>
        <w:ind w:firstLine="720"/>
        <w:jc w:val="both"/>
      </w:pPr>
      <w:r w:rsidRPr="006D51A8">
        <w:t>Мировой судья</w:t>
      </w:r>
    </w:p>
    <w:p w:rsidR="00581744" w:rsidRPr="006D51A8" w:rsidP="00581744">
      <w:pPr>
        <w:ind w:firstLine="720"/>
        <w:jc w:val="both"/>
      </w:pPr>
      <w:r w:rsidRPr="006D51A8">
        <w:t>судебного участка №92</w:t>
      </w:r>
    </w:p>
    <w:p w:rsidR="00581744" w:rsidRPr="006D51A8" w:rsidP="0058174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81744">
      <w:pPr>
        <w:jc w:val="both"/>
      </w:pPr>
    </w:p>
    <w:sectPr w:rsidSect="005817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44"/>
    <w:rsid w:val="0058174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